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5E538" w14:textId="6A077AD7" w:rsidR="00824585" w:rsidRDefault="001320D7" w:rsidP="00E41D82">
      <w:pPr>
        <w:spacing w:after="0" w:line="360" w:lineRule="auto"/>
        <w:jc w:val="center"/>
        <w:rPr>
          <w:rFonts w:ascii="Cambria" w:eastAsiaTheme="majorEastAsia" w:hAnsi="Cambria" w:cstheme="minorHAnsi"/>
          <w:b/>
          <w:bCs/>
          <w:sz w:val="24"/>
          <w:szCs w:val="24"/>
        </w:rPr>
      </w:pPr>
      <w:bookmarkStart w:id="0" w:name="_GoBack"/>
      <w:r w:rsidRPr="001320D7">
        <w:rPr>
          <w:rFonts w:ascii="Cambria" w:eastAsiaTheme="majorEastAsia" w:hAnsi="Cambria" w:cstheme="minorHAnsi"/>
          <w:b/>
          <w:bCs/>
          <w:noProof/>
          <w:sz w:val="24"/>
          <w:szCs w:val="24"/>
          <w:lang w:val="es-CL" w:eastAsia="es-CL"/>
        </w:rPr>
        <w:drawing>
          <wp:inline distT="0" distB="0" distL="0" distR="0" wp14:anchorId="1EA4F9A2" wp14:editId="0979A949">
            <wp:extent cx="2476500" cy="874748"/>
            <wp:effectExtent l="0" t="0" r="0" b="1905"/>
            <wp:docPr id="1" name="Imagen 1" descr="C:\Users\María Elena González\Desktop\Logo_Cruch(baj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ía Elena González\Desktop\Logo_Cruch(baja)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307" cy="897639"/>
                    </a:xfrm>
                    <a:prstGeom prst="rect">
                      <a:avLst/>
                    </a:prstGeom>
                    <a:noFill/>
                    <a:ln>
                      <a:noFill/>
                    </a:ln>
                  </pic:spPr>
                </pic:pic>
              </a:graphicData>
            </a:graphic>
          </wp:inline>
        </w:drawing>
      </w:r>
      <w:bookmarkEnd w:id="0"/>
    </w:p>
    <w:p w14:paraId="0179E565" w14:textId="547C49B5" w:rsidR="003F7812" w:rsidRPr="00187E84" w:rsidRDefault="003F7812" w:rsidP="00E41D82">
      <w:pPr>
        <w:spacing w:after="0" w:line="360" w:lineRule="auto"/>
        <w:jc w:val="center"/>
        <w:rPr>
          <w:rFonts w:ascii="Cambria" w:eastAsiaTheme="majorEastAsia" w:hAnsi="Cambria" w:cstheme="minorHAnsi"/>
          <w:b/>
          <w:bCs/>
          <w:sz w:val="24"/>
          <w:szCs w:val="24"/>
        </w:rPr>
      </w:pPr>
      <w:r w:rsidRPr="00187E84">
        <w:rPr>
          <w:rFonts w:ascii="Cambria" w:eastAsiaTheme="majorEastAsia" w:hAnsi="Cambria" w:cstheme="minorHAnsi"/>
          <w:b/>
          <w:bCs/>
          <w:sz w:val="24"/>
          <w:szCs w:val="24"/>
        </w:rPr>
        <w:t>MINUTA TÉCNICA</w:t>
      </w:r>
    </w:p>
    <w:p w14:paraId="5C711C7E" w14:textId="1CCC4986" w:rsidR="00E41D82" w:rsidRPr="00187E84" w:rsidRDefault="003F7812" w:rsidP="00E41D82">
      <w:pPr>
        <w:spacing w:after="0" w:line="360" w:lineRule="auto"/>
        <w:jc w:val="center"/>
        <w:rPr>
          <w:rFonts w:ascii="Cambria" w:eastAsiaTheme="majorEastAsia" w:hAnsi="Cambria" w:cstheme="minorHAnsi"/>
          <w:b/>
          <w:bCs/>
          <w:sz w:val="24"/>
          <w:szCs w:val="24"/>
        </w:rPr>
      </w:pPr>
      <w:r w:rsidRPr="00187E84">
        <w:rPr>
          <w:rFonts w:ascii="Cambria" w:eastAsiaTheme="majorEastAsia" w:hAnsi="Cambria" w:cstheme="minorHAnsi"/>
          <w:b/>
          <w:bCs/>
          <w:sz w:val="24"/>
          <w:szCs w:val="24"/>
        </w:rPr>
        <w:t xml:space="preserve">COMISIÓN </w:t>
      </w:r>
      <w:r w:rsidR="00824585">
        <w:rPr>
          <w:rFonts w:ascii="Cambria" w:eastAsiaTheme="majorEastAsia" w:hAnsi="Cambria" w:cstheme="minorHAnsi"/>
          <w:b/>
          <w:bCs/>
          <w:sz w:val="24"/>
          <w:szCs w:val="24"/>
        </w:rPr>
        <w:t>ECONÓMICA Y COMISIÓN JURÍDICA</w:t>
      </w:r>
      <w:r w:rsidRPr="00187E84">
        <w:rPr>
          <w:rFonts w:ascii="Cambria" w:eastAsiaTheme="majorEastAsia" w:hAnsi="Cambria" w:cstheme="minorHAnsi"/>
          <w:b/>
          <w:bCs/>
          <w:sz w:val="24"/>
          <w:szCs w:val="24"/>
        </w:rPr>
        <w:t xml:space="preserve"> </w:t>
      </w:r>
    </w:p>
    <w:p w14:paraId="016C9FBA" w14:textId="65B4C495" w:rsidR="003F7812" w:rsidRPr="00187E84" w:rsidRDefault="003F7812" w:rsidP="00E41D82">
      <w:pPr>
        <w:spacing w:after="0" w:line="360" w:lineRule="auto"/>
        <w:jc w:val="center"/>
        <w:rPr>
          <w:rFonts w:ascii="Cambria" w:eastAsiaTheme="majorEastAsia" w:hAnsi="Cambria" w:cstheme="minorHAnsi"/>
          <w:b/>
          <w:bCs/>
          <w:sz w:val="24"/>
          <w:szCs w:val="24"/>
        </w:rPr>
      </w:pPr>
      <w:r w:rsidRPr="00187E84">
        <w:rPr>
          <w:rFonts w:ascii="Cambria" w:eastAsiaTheme="majorEastAsia" w:hAnsi="Cambria" w:cstheme="minorHAnsi"/>
          <w:b/>
          <w:bCs/>
          <w:sz w:val="24"/>
          <w:szCs w:val="24"/>
        </w:rPr>
        <w:t>CONSEJO DE RECTORES</w:t>
      </w:r>
      <w:r w:rsidR="00E41D82" w:rsidRPr="00187E84">
        <w:rPr>
          <w:rFonts w:ascii="Cambria" w:eastAsiaTheme="majorEastAsia" w:hAnsi="Cambria" w:cstheme="minorHAnsi"/>
          <w:b/>
          <w:bCs/>
          <w:sz w:val="24"/>
          <w:szCs w:val="24"/>
        </w:rPr>
        <w:t xml:space="preserve"> </w:t>
      </w:r>
      <w:r w:rsidR="006D4137" w:rsidRPr="00187E84">
        <w:rPr>
          <w:rFonts w:ascii="Cambria" w:eastAsiaTheme="majorEastAsia" w:hAnsi="Cambria" w:cstheme="minorHAnsi"/>
          <w:b/>
          <w:bCs/>
          <w:sz w:val="24"/>
          <w:szCs w:val="24"/>
        </w:rPr>
        <w:t>DE LAS UNIVERSIDADES CHILENAS (CRUCH</w:t>
      </w:r>
      <w:r w:rsidR="00E41D82" w:rsidRPr="00187E84">
        <w:rPr>
          <w:rFonts w:ascii="Cambria" w:eastAsiaTheme="majorEastAsia" w:hAnsi="Cambria" w:cstheme="minorHAnsi"/>
          <w:b/>
          <w:bCs/>
          <w:sz w:val="24"/>
          <w:szCs w:val="24"/>
        </w:rPr>
        <w:t>)</w:t>
      </w:r>
    </w:p>
    <w:p w14:paraId="3FCAA6E3" w14:textId="77777777" w:rsidR="00E41D82" w:rsidRPr="00187E84" w:rsidRDefault="00E41D82" w:rsidP="00E41D82">
      <w:pPr>
        <w:spacing w:after="0" w:line="360" w:lineRule="auto"/>
        <w:jc w:val="center"/>
        <w:rPr>
          <w:rFonts w:ascii="Cambria" w:eastAsiaTheme="majorEastAsia" w:hAnsi="Cambria" w:cstheme="minorHAnsi"/>
          <w:b/>
          <w:bCs/>
          <w:sz w:val="24"/>
          <w:szCs w:val="24"/>
        </w:rPr>
      </w:pPr>
    </w:p>
    <w:p w14:paraId="330B88F8" w14:textId="282B63BC" w:rsidR="0028189E" w:rsidRPr="00187E84" w:rsidRDefault="003F7812" w:rsidP="00E41D82">
      <w:pPr>
        <w:pBdr>
          <w:bottom w:val="single" w:sz="4" w:space="1" w:color="auto"/>
        </w:pBdr>
        <w:spacing w:after="0" w:line="360" w:lineRule="auto"/>
        <w:jc w:val="center"/>
        <w:rPr>
          <w:rFonts w:ascii="Cambria" w:eastAsiaTheme="majorEastAsia" w:hAnsi="Cambria" w:cstheme="minorHAnsi"/>
          <w:b/>
          <w:bCs/>
          <w:sz w:val="24"/>
          <w:szCs w:val="24"/>
        </w:rPr>
      </w:pPr>
      <w:r w:rsidRPr="00187E84">
        <w:rPr>
          <w:rFonts w:ascii="Cambria" w:eastAsiaTheme="majorEastAsia" w:hAnsi="Cambria" w:cstheme="minorHAnsi"/>
          <w:b/>
          <w:bCs/>
          <w:sz w:val="24"/>
          <w:szCs w:val="24"/>
        </w:rPr>
        <w:t xml:space="preserve">Antecedentes para clarificar </w:t>
      </w:r>
      <w:r w:rsidR="00E41D82" w:rsidRPr="00187E84">
        <w:rPr>
          <w:rFonts w:ascii="Cambria" w:eastAsiaTheme="majorEastAsia" w:hAnsi="Cambria" w:cstheme="minorHAnsi"/>
          <w:b/>
          <w:bCs/>
          <w:sz w:val="24"/>
          <w:szCs w:val="24"/>
        </w:rPr>
        <w:t xml:space="preserve">cuestionamientos de Ministerio de Hacienda </w:t>
      </w:r>
      <w:r w:rsidRPr="00187E84">
        <w:rPr>
          <w:rFonts w:ascii="Cambria" w:eastAsiaTheme="majorEastAsia" w:hAnsi="Cambria" w:cstheme="minorHAnsi"/>
          <w:b/>
          <w:bCs/>
          <w:sz w:val="24"/>
          <w:szCs w:val="24"/>
        </w:rPr>
        <w:t xml:space="preserve">en </w:t>
      </w:r>
      <w:r w:rsidR="00E41D82" w:rsidRPr="00187E84">
        <w:rPr>
          <w:rFonts w:ascii="Cambria" w:eastAsiaTheme="majorEastAsia" w:hAnsi="Cambria" w:cstheme="minorHAnsi"/>
          <w:b/>
          <w:bCs/>
          <w:sz w:val="24"/>
          <w:szCs w:val="24"/>
        </w:rPr>
        <w:t xml:space="preserve">el proceso de </w:t>
      </w:r>
      <w:r w:rsidRPr="00187E84">
        <w:rPr>
          <w:rFonts w:ascii="Cambria" w:eastAsiaTheme="majorEastAsia" w:hAnsi="Cambria" w:cstheme="minorHAnsi"/>
          <w:b/>
          <w:bCs/>
          <w:sz w:val="24"/>
          <w:szCs w:val="24"/>
        </w:rPr>
        <w:t>discusión de Presupuesto 2021</w:t>
      </w:r>
    </w:p>
    <w:p w14:paraId="2819548B" w14:textId="77777777" w:rsidR="003F7812" w:rsidRPr="00187E84" w:rsidRDefault="003F7812" w:rsidP="00E41D82">
      <w:pPr>
        <w:spacing w:after="0" w:line="360" w:lineRule="auto"/>
        <w:jc w:val="both"/>
        <w:rPr>
          <w:rFonts w:ascii="Cambria" w:eastAsiaTheme="majorEastAsia" w:hAnsi="Cambria" w:cstheme="minorHAnsi"/>
          <w:b/>
          <w:bCs/>
          <w:sz w:val="24"/>
          <w:szCs w:val="24"/>
        </w:rPr>
      </w:pPr>
    </w:p>
    <w:p w14:paraId="39AA89C0" w14:textId="5BD3B83A" w:rsidR="00030987" w:rsidRPr="00187E84" w:rsidRDefault="00C20B66" w:rsidP="00E41D82">
      <w:pPr>
        <w:spacing w:after="0" w:line="360" w:lineRule="auto"/>
        <w:jc w:val="both"/>
        <w:rPr>
          <w:rFonts w:ascii="Cambria" w:eastAsiaTheme="majorEastAsia" w:hAnsi="Cambria" w:cstheme="minorHAnsi"/>
          <w:bCs/>
          <w:sz w:val="24"/>
          <w:szCs w:val="24"/>
        </w:rPr>
      </w:pPr>
      <w:r>
        <w:rPr>
          <w:rFonts w:ascii="Cambria" w:eastAsiaTheme="majorEastAsia" w:hAnsi="Cambria" w:cstheme="minorHAnsi"/>
          <w:bCs/>
          <w:sz w:val="24"/>
          <w:szCs w:val="24"/>
        </w:rPr>
        <w:t xml:space="preserve">La presente </w:t>
      </w:r>
      <w:r w:rsidR="003F7812" w:rsidRPr="00187E84">
        <w:rPr>
          <w:rFonts w:ascii="Cambria" w:eastAsiaTheme="majorEastAsia" w:hAnsi="Cambria" w:cstheme="minorHAnsi"/>
          <w:bCs/>
          <w:sz w:val="24"/>
          <w:szCs w:val="24"/>
        </w:rPr>
        <w:t xml:space="preserve">Minuta Técnica ofrece antecedentes relevantes </w:t>
      </w:r>
      <w:r w:rsidR="006D4137" w:rsidRPr="00187E84">
        <w:rPr>
          <w:rFonts w:ascii="Cambria" w:eastAsiaTheme="majorEastAsia" w:hAnsi="Cambria" w:cstheme="minorHAnsi"/>
          <w:bCs/>
          <w:sz w:val="24"/>
          <w:szCs w:val="24"/>
        </w:rPr>
        <w:t xml:space="preserve">que permiten clarificar </w:t>
      </w:r>
      <w:r w:rsidR="003F7812" w:rsidRPr="00187E84">
        <w:rPr>
          <w:rFonts w:ascii="Cambria" w:eastAsiaTheme="majorEastAsia" w:hAnsi="Cambria" w:cstheme="minorHAnsi"/>
          <w:bCs/>
          <w:sz w:val="24"/>
          <w:szCs w:val="24"/>
        </w:rPr>
        <w:t xml:space="preserve">tres aspectos </w:t>
      </w:r>
      <w:r w:rsidR="00E41D82" w:rsidRPr="00187E84">
        <w:rPr>
          <w:rFonts w:ascii="Cambria" w:eastAsiaTheme="majorEastAsia" w:hAnsi="Cambria" w:cstheme="minorHAnsi"/>
          <w:bCs/>
          <w:sz w:val="24"/>
          <w:szCs w:val="24"/>
        </w:rPr>
        <w:t xml:space="preserve">que </w:t>
      </w:r>
      <w:r w:rsidR="003F7812" w:rsidRPr="00187E84">
        <w:rPr>
          <w:rFonts w:ascii="Cambria" w:eastAsiaTheme="majorEastAsia" w:hAnsi="Cambria" w:cstheme="minorHAnsi"/>
          <w:bCs/>
          <w:sz w:val="24"/>
          <w:szCs w:val="24"/>
        </w:rPr>
        <w:t>el Ministerio</w:t>
      </w:r>
      <w:r w:rsidR="00E41D82" w:rsidRPr="00187E84">
        <w:rPr>
          <w:rFonts w:ascii="Cambria" w:eastAsiaTheme="majorEastAsia" w:hAnsi="Cambria" w:cstheme="minorHAnsi"/>
          <w:bCs/>
          <w:sz w:val="24"/>
          <w:szCs w:val="24"/>
        </w:rPr>
        <w:t xml:space="preserve"> de Hacienda ha cuestionado </w:t>
      </w:r>
      <w:r w:rsidR="006D4137" w:rsidRPr="00187E84">
        <w:rPr>
          <w:rFonts w:ascii="Cambria" w:eastAsiaTheme="majorEastAsia" w:hAnsi="Cambria" w:cstheme="minorHAnsi"/>
          <w:bCs/>
          <w:sz w:val="24"/>
          <w:szCs w:val="24"/>
        </w:rPr>
        <w:t xml:space="preserve">reiteradamente </w:t>
      </w:r>
      <w:r w:rsidR="00E41D82" w:rsidRPr="00187E84">
        <w:rPr>
          <w:rFonts w:ascii="Cambria" w:eastAsiaTheme="majorEastAsia" w:hAnsi="Cambria" w:cstheme="minorHAnsi"/>
          <w:bCs/>
          <w:sz w:val="24"/>
          <w:szCs w:val="24"/>
        </w:rPr>
        <w:t xml:space="preserve">durante la discusión del Presupuesto 2021 para Educación Superior. </w:t>
      </w:r>
      <w:r w:rsidR="003F7812" w:rsidRPr="00187E84">
        <w:rPr>
          <w:rFonts w:ascii="Cambria" w:eastAsiaTheme="majorEastAsia" w:hAnsi="Cambria" w:cstheme="minorHAnsi"/>
          <w:bCs/>
          <w:sz w:val="24"/>
          <w:szCs w:val="24"/>
        </w:rPr>
        <w:t xml:space="preserve"> </w:t>
      </w:r>
      <w:r w:rsidR="00E41D82" w:rsidRPr="00187E84">
        <w:rPr>
          <w:rFonts w:ascii="Cambria" w:eastAsiaTheme="majorEastAsia" w:hAnsi="Cambria" w:cstheme="minorHAnsi"/>
          <w:bCs/>
          <w:sz w:val="24"/>
          <w:szCs w:val="24"/>
        </w:rPr>
        <w:t xml:space="preserve">Estos dicen relación con la disminución de financiamiento en programas de Educación Superior, con la </w:t>
      </w:r>
      <w:r w:rsidR="006D4137" w:rsidRPr="00187E84">
        <w:rPr>
          <w:rFonts w:ascii="Cambria" w:eastAsiaTheme="majorEastAsia" w:hAnsi="Cambria" w:cstheme="minorHAnsi"/>
          <w:bCs/>
          <w:sz w:val="24"/>
          <w:szCs w:val="24"/>
        </w:rPr>
        <w:t xml:space="preserve">falta de </w:t>
      </w:r>
      <w:r w:rsidR="00E41D82" w:rsidRPr="00187E84">
        <w:rPr>
          <w:rFonts w:ascii="Cambria" w:eastAsiaTheme="majorEastAsia" w:hAnsi="Cambria" w:cstheme="minorHAnsi"/>
          <w:bCs/>
          <w:sz w:val="24"/>
          <w:szCs w:val="24"/>
        </w:rPr>
        <w:t>transparencia y rendición de cuentas de las universidades, y con el supuesto aumento de remuneraciones.</w:t>
      </w:r>
      <w:r w:rsidR="006D4137" w:rsidRPr="00187E84">
        <w:rPr>
          <w:rFonts w:ascii="Cambria" w:eastAsiaTheme="majorEastAsia" w:hAnsi="Cambria" w:cstheme="minorHAnsi"/>
          <w:bCs/>
          <w:sz w:val="24"/>
          <w:szCs w:val="24"/>
        </w:rPr>
        <w:t xml:space="preserve"> </w:t>
      </w:r>
    </w:p>
    <w:p w14:paraId="256506BD" w14:textId="1BA40D8A" w:rsidR="00E41D82" w:rsidRPr="00187E84" w:rsidRDefault="006D4137" w:rsidP="00E41D82">
      <w:pPr>
        <w:spacing w:after="0" w:line="360" w:lineRule="auto"/>
        <w:jc w:val="both"/>
        <w:rPr>
          <w:rFonts w:ascii="Cambria" w:eastAsiaTheme="majorEastAsia" w:hAnsi="Cambria" w:cstheme="minorHAnsi"/>
          <w:bCs/>
          <w:sz w:val="24"/>
          <w:szCs w:val="24"/>
        </w:rPr>
      </w:pPr>
      <w:r w:rsidRPr="00187E84">
        <w:rPr>
          <w:rFonts w:ascii="Cambria" w:eastAsiaTheme="majorEastAsia" w:hAnsi="Cambria" w:cstheme="minorHAnsi"/>
          <w:bCs/>
          <w:sz w:val="24"/>
          <w:szCs w:val="24"/>
        </w:rPr>
        <w:t>A continuación se profundiza en cada uno de estos temas y se</w:t>
      </w:r>
      <w:r w:rsidR="0040599B">
        <w:rPr>
          <w:rFonts w:ascii="Cambria" w:eastAsiaTheme="majorEastAsia" w:hAnsi="Cambria" w:cstheme="minorHAnsi"/>
          <w:bCs/>
          <w:sz w:val="24"/>
          <w:szCs w:val="24"/>
        </w:rPr>
        <w:t xml:space="preserve"> expone información que </w:t>
      </w:r>
      <w:r w:rsidR="00030987" w:rsidRPr="00187E84">
        <w:rPr>
          <w:rFonts w:ascii="Cambria" w:eastAsiaTheme="majorEastAsia" w:hAnsi="Cambria" w:cstheme="minorHAnsi"/>
          <w:bCs/>
          <w:sz w:val="24"/>
          <w:szCs w:val="24"/>
        </w:rPr>
        <w:t>permite contrarrestar los planteamientos de la cartera de Hacienda</w:t>
      </w:r>
      <w:r w:rsidRPr="00187E84">
        <w:rPr>
          <w:rFonts w:ascii="Cambria" w:eastAsiaTheme="majorEastAsia" w:hAnsi="Cambria" w:cstheme="minorHAnsi"/>
          <w:bCs/>
          <w:sz w:val="24"/>
          <w:szCs w:val="24"/>
        </w:rPr>
        <w:t>:</w:t>
      </w:r>
    </w:p>
    <w:p w14:paraId="34C55210" w14:textId="77777777" w:rsidR="003F7812" w:rsidRPr="00187E84" w:rsidRDefault="003F7812" w:rsidP="00E41D82">
      <w:pPr>
        <w:spacing w:after="0" w:line="360" w:lineRule="auto"/>
        <w:jc w:val="both"/>
        <w:rPr>
          <w:rFonts w:ascii="Cambria" w:eastAsiaTheme="majorEastAsia" w:hAnsi="Cambria" w:cstheme="minorHAnsi"/>
          <w:b/>
          <w:bCs/>
          <w:sz w:val="24"/>
          <w:szCs w:val="24"/>
        </w:rPr>
      </w:pPr>
    </w:p>
    <w:p w14:paraId="7956AD51" w14:textId="77777777" w:rsidR="003F7812" w:rsidRPr="00187E84" w:rsidRDefault="003F7812" w:rsidP="00E41D82">
      <w:pPr>
        <w:spacing w:after="0" w:line="360" w:lineRule="auto"/>
        <w:jc w:val="both"/>
        <w:rPr>
          <w:rFonts w:ascii="Cambria" w:hAnsi="Cambria" w:cstheme="minorHAnsi"/>
          <w:sz w:val="24"/>
          <w:szCs w:val="24"/>
        </w:rPr>
      </w:pPr>
    </w:p>
    <w:p w14:paraId="5ED0B253" w14:textId="77777777" w:rsidR="00E41D82" w:rsidRPr="00187E84" w:rsidRDefault="00E41D82" w:rsidP="00E41D82">
      <w:pPr>
        <w:pStyle w:val="Ttulo1"/>
        <w:numPr>
          <w:ilvl w:val="0"/>
          <w:numId w:val="21"/>
        </w:numPr>
        <w:spacing w:before="0" w:after="0" w:line="360" w:lineRule="auto"/>
        <w:jc w:val="both"/>
        <w:rPr>
          <w:rFonts w:ascii="Cambria" w:hAnsi="Cambria"/>
          <w:sz w:val="24"/>
          <w:szCs w:val="24"/>
        </w:rPr>
      </w:pPr>
      <w:r w:rsidRPr="00187E84">
        <w:rPr>
          <w:rFonts w:ascii="Cambria" w:hAnsi="Cambria"/>
          <w:sz w:val="24"/>
          <w:szCs w:val="24"/>
        </w:rPr>
        <w:t xml:space="preserve">Acerca de la disminución de montos en programas de Educación Superior </w:t>
      </w:r>
    </w:p>
    <w:p w14:paraId="0755F951" w14:textId="77777777" w:rsidR="00E41D82" w:rsidRPr="00187E84" w:rsidRDefault="00E41D82" w:rsidP="00E41D82"/>
    <w:p w14:paraId="084A3FC4" w14:textId="7C3B627D" w:rsidR="00E41D82" w:rsidRPr="00187E84" w:rsidRDefault="00E41D82" w:rsidP="00E41D82">
      <w:pPr>
        <w:spacing w:after="0" w:line="360" w:lineRule="auto"/>
        <w:jc w:val="both"/>
        <w:rPr>
          <w:rFonts w:ascii="Cambria" w:hAnsi="Cambria" w:cstheme="minorHAnsi"/>
          <w:sz w:val="24"/>
          <w:szCs w:val="24"/>
        </w:rPr>
      </w:pPr>
      <w:r w:rsidRPr="00187E84">
        <w:rPr>
          <w:rFonts w:ascii="Cambria" w:hAnsi="Cambria" w:cstheme="minorHAnsi"/>
          <w:sz w:val="24"/>
          <w:szCs w:val="24"/>
        </w:rPr>
        <w:t>En sesión de la Comisión Mixta de Presupuesto del día miércoles 11 de noviembre</w:t>
      </w:r>
      <w:r w:rsidR="006D4137" w:rsidRPr="00187E84">
        <w:rPr>
          <w:rFonts w:ascii="Cambria" w:hAnsi="Cambria" w:cstheme="minorHAnsi"/>
          <w:sz w:val="24"/>
          <w:szCs w:val="24"/>
        </w:rPr>
        <w:t>,</w:t>
      </w:r>
      <w:r w:rsidRPr="00187E84">
        <w:rPr>
          <w:rFonts w:ascii="Cambria" w:hAnsi="Cambria" w:cstheme="minorHAnsi"/>
          <w:sz w:val="24"/>
          <w:szCs w:val="24"/>
        </w:rPr>
        <w:t xml:space="preserve"> en referencia a las disminuciones en los </w:t>
      </w:r>
      <w:r w:rsidR="006D4137" w:rsidRPr="00187E84">
        <w:rPr>
          <w:rFonts w:ascii="Cambria" w:hAnsi="Cambria" w:cstheme="minorHAnsi"/>
          <w:sz w:val="24"/>
          <w:szCs w:val="24"/>
        </w:rPr>
        <w:t xml:space="preserve">programas de Educación Superior, el ministro de Hacienda, Ignacio Briones, sostuvo </w:t>
      </w:r>
      <w:r w:rsidRPr="00187E84">
        <w:rPr>
          <w:rFonts w:ascii="Cambria" w:hAnsi="Cambria" w:cstheme="minorHAnsi"/>
          <w:sz w:val="24"/>
          <w:szCs w:val="24"/>
        </w:rPr>
        <w:t>que "cuando se habla de (reducciones de) $40 mil millones de ingresos</w:t>
      </w:r>
      <w:r w:rsidR="006D4137" w:rsidRPr="00187E84">
        <w:rPr>
          <w:rFonts w:ascii="Cambria" w:hAnsi="Cambria" w:cstheme="minorHAnsi"/>
          <w:sz w:val="24"/>
          <w:szCs w:val="24"/>
        </w:rPr>
        <w:t>,</w:t>
      </w:r>
      <w:r w:rsidRPr="00187E84">
        <w:rPr>
          <w:rFonts w:ascii="Cambria" w:hAnsi="Cambria" w:cstheme="minorHAnsi"/>
          <w:sz w:val="24"/>
          <w:szCs w:val="24"/>
        </w:rPr>
        <w:t xml:space="preserve"> había $30 mil millones que iban a caer, porque las iniciativas a las que estaban asociadas se terminaban. En consecuencia, (...) la caída es de 10 mil millones".</w:t>
      </w:r>
    </w:p>
    <w:p w14:paraId="237D038B" w14:textId="7DB1CFE1" w:rsidR="00E41D82" w:rsidRDefault="00E41D82" w:rsidP="00E41D82">
      <w:pPr>
        <w:spacing w:after="0" w:line="360" w:lineRule="auto"/>
        <w:jc w:val="both"/>
        <w:rPr>
          <w:rFonts w:ascii="Cambria" w:hAnsi="Cambria" w:cstheme="minorHAnsi"/>
          <w:sz w:val="24"/>
          <w:szCs w:val="24"/>
        </w:rPr>
      </w:pPr>
      <w:r w:rsidRPr="00187E84">
        <w:rPr>
          <w:rFonts w:ascii="Cambria" w:hAnsi="Cambria" w:cstheme="minorHAnsi"/>
          <w:sz w:val="24"/>
          <w:szCs w:val="24"/>
        </w:rPr>
        <w:t xml:space="preserve">La afirmación del ministro Briones no se sustenta con las cifras publicadas por la misma Dirección de Presupuesto, ni responde a decisiones que hayan sido conocidas previamente por parte de las universidades. En las asignaciones correspondientes a las Universidades del Estado y de Universidades </w:t>
      </w:r>
      <w:r w:rsidR="006D4137" w:rsidRPr="00187E84">
        <w:rPr>
          <w:rFonts w:ascii="Cambria" w:hAnsi="Cambria" w:cstheme="minorHAnsi"/>
          <w:sz w:val="24"/>
          <w:szCs w:val="24"/>
        </w:rPr>
        <w:t>Públicas No Estatales</w:t>
      </w:r>
      <w:r w:rsidRPr="00187E84">
        <w:rPr>
          <w:rFonts w:ascii="Cambria" w:hAnsi="Cambria" w:cstheme="minorHAnsi"/>
          <w:sz w:val="24"/>
          <w:szCs w:val="24"/>
        </w:rPr>
        <w:t xml:space="preserve"> G</w:t>
      </w:r>
      <w:r w:rsidR="006D4137" w:rsidRPr="00187E84">
        <w:rPr>
          <w:rFonts w:ascii="Cambria" w:hAnsi="Cambria" w:cstheme="minorHAnsi"/>
          <w:sz w:val="24"/>
          <w:szCs w:val="24"/>
        </w:rPr>
        <w:t>-</w:t>
      </w:r>
      <w:r w:rsidRPr="00187E84">
        <w:rPr>
          <w:rFonts w:ascii="Cambria" w:hAnsi="Cambria" w:cstheme="minorHAnsi"/>
          <w:sz w:val="24"/>
          <w:szCs w:val="24"/>
        </w:rPr>
        <w:t>9</w:t>
      </w:r>
      <w:r w:rsidR="006D4137" w:rsidRPr="00187E84">
        <w:rPr>
          <w:rFonts w:ascii="Cambria" w:hAnsi="Cambria" w:cstheme="minorHAnsi"/>
          <w:sz w:val="24"/>
          <w:szCs w:val="24"/>
        </w:rPr>
        <w:t>,</w:t>
      </w:r>
      <w:r w:rsidRPr="00187E84">
        <w:rPr>
          <w:rFonts w:ascii="Cambria" w:hAnsi="Cambria" w:cstheme="minorHAnsi"/>
          <w:sz w:val="24"/>
          <w:szCs w:val="24"/>
        </w:rPr>
        <w:t xml:space="preserve"> se observa una reducción cercana a los $42 mil millones en fondos basales (</w:t>
      </w:r>
      <w:r w:rsidR="006D4137" w:rsidRPr="00187E84">
        <w:rPr>
          <w:rFonts w:ascii="Cambria" w:hAnsi="Cambria" w:cstheme="minorHAnsi"/>
          <w:sz w:val="24"/>
          <w:szCs w:val="24"/>
        </w:rPr>
        <w:t>ver T</w:t>
      </w:r>
      <w:r w:rsidRPr="00187E84">
        <w:rPr>
          <w:rFonts w:ascii="Cambria" w:hAnsi="Cambria" w:cstheme="minorHAnsi"/>
          <w:sz w:val="24"/>
          <w:szCs w:val="24"/>
        </w:rPr>
        <w:t xml:space="preserve">abla 1 y 2). Aunque algunos de ellos son asignados por medio de postulación anual de proyectos, su monto total es permanente y no se encuentran asociados a programas que </w:t>
      </w:r>
      <w:r w:rsidRPr="00187E84">
        <w:rPr>
          <w:rFonts w:ascii="Cambria" w:hAnsi="Cambria" w:cstheme="minorHAnsi"/>
          <w:i/>
          <w:sz w:val="24"/>
          <w:szCs w:val="24"/>
        </w:rPr>
        <w:t xml:space="preserve">a priori </w:t>
      </w:r>
      <w:r w:rsidRPr="00187E84">
        <w:rPr>
          <w:rFonts w:ascii="Cambria" w:hAnsi="Cambria" w:cstheme="minorHAnsi"/>
          <w:sz w:val="24"/>
          <w:szCs w:val="24"/>
        </w:rPr>
        <w:t xml:space="preserve">contasen con una duración específica, tal como dio a entender el </w:t>
      </w:r>
      <w:r w:rsidR="006D4137" w:rsidRPr="00187E84">
        <w:rPr>
          <w:rFonts w:ascii="Cambria" w:hAnsi="Cambria" w:cstheme="minorHAnsi"/>
          <w:sz w:val="24"/>
          <w:szCs w:val="24"/>
        </w:rPr>
        <w:t>m</w:t>
      </w:r>
      <w:r w:rsidRPr="00187E84">
        <w:rPr>
          <w:rFonts w:ascii="Cambria" w:hAnsi="Cambria" w:cstheme="minorHAnsi"/>
          <w:sz w:val="24"/>
          <w:szCs w:val="24"/>
        </w:rPr>
        <w:t>inistro.</w:t>
      </w:r>
    </w:p>
    <w:p w14:paraId="64BB3802" w14:textId="77777777" w:rsidR="00FE69AE" w:rsidRPr="00187E84" w:rsidRDefault="00FE69AE" w:rsidP="00E41D82">
      <w:pPr>
        <w:spacing w:after="0" w:line="360" w:lineRule="auto"/>
        <w:jc w:val="both"/>
        <w:rPr>
          <w:rFonts w:ascii="Cambria" w:hAnsi="Cambria" w:cstheme="minorHAnsi"/>
          <w:sz w:val="24"/>
          <w:szCs w:val="24"/>
        </w:rPr>
      </w:pPr>
    </w:p>
    <w:p w14:paraId="0DFDADF6" w14:textId="77777777" w:rsidR="00E41D82" w:rsidRPr="00187E84" w:rsidRDefault="00E41D82" w:rsidP="006D4137">
      <w:pPr>
        <w:pStyle w:val="Descripcin"/>
        <w:keepNext/>
        <w:spacing w:after="0" w:line="360" w:lineRule="auto"/>
        <w:jc w:val="center"/>
        <w:rPr>
          <w:rFonts w:ascii="Cambria" w:hAnsi="Cambria" w:cstheme="minorHAnsi"/>
          <w:b/>
          <w:color w:val="auto"/>
          <w:sz w:val="24"/>
          <w:szCs w:val="24"/>
        </w:rPr>
      </w:pPr>
      <w:r w:rsidRPr="00187E84">
        <w:rPr>
          <w:rFonts w:ascii="Cambria" w:hAnsi="Cambria" w:cstheme="minorHAnsi"/>
          <w:b/>
          <w:color w:val="auto"/>
          <w:sz w:val="24"/>
          <w:szCs w:val="24"/>
        </w:rPr>
        <w:lastRenderedPageBreak/>
        <w:t xml:space="preserve">Tabla </w:t>
      </w:r>
      <w:r w:rsidRPr="00187E84">
        <w:rPr>
          <w:rFonts w:ascii="Cambria" w:hAnsi="Cambria" w:cstheme="minorHAnsi"/>
          <w:b/>
          <w:color w:val="auto"/>
          <w:sz w:val="24"/>
          <w:szCs w:val="24"/>
        </w:rPr>
        <w:fldChar w:fldCharType="begin"/>
      </w:r>
      <w:r w:rsidRPr="00187E84">
        <w:rPr>
          <w:rFonts w:ascii="Cambria" w:hAnsi="Cambria" w:cstheme="minorHAnsi"/>
          <w:b/>
          <w:color w:val="auto"/>
          <w:sz w:val="24"/>
          <w:szCs w:val="24"/>
        </w:rPr>
        <w:instrText xml:space="preserve"> SEQ Tabla \* ARABIC </w:instrText>
      </w:r>
      <w:r w:rsidRPr="00187E84">
        <w:rPr>
          <w:rFonts w:ascii="Cambria" w:hAnsi="Cambria" w:cstheme="minorHAnsi"/>
          <w:b/>
          <w:color w:val="auto"/>
          <w:sz w:val="24"/>
          <w:szCs w:val="24"/>
        </w:rPr>
        <w:fldChar w:fldCharType="separate"/>
      </w:r>
      <w:r w:rsidRPr="00187E84">
        <w:rPr>
          <w:rFonts w:ascii="Cambria" w:hAnsi="Cambria" w:cstheme="minorHAnsi"/>
          <w:b/>
          <w:noProof/>
          <w:color w:val="auto"/>
          <w:sz w:val="24"/>
          <w:szCs w:val="24"/>
        </w:rPr>
        <w:t>1</w:t>
      </w:r>
      <w:r w:rsidRPr="00187E84">
        <w:rPr>
          <w:rFonts w:ascii="Cambria" w:hAnsi="Cambria" w:cstheme="minorHAnsi"/>
          <w:b/>
          <w:color w:val="auto"/>
          <w:sz w:val="24"/>
          <w:szCs w:val="24"/>
        </w:rPr>
        <w:fldChar w:fldCharType="end"/>
      </w:r>
      <w:r w:rsidRPr="00187E84">
        <w:rPr>
          <w:rFonts w:ascii="Cambria" w:hAnsi="Cambria" w:cstheme="minorHAnsi"/>
          <w:b/>
          <w:color w:val="auto"/>
          <w:sz w:val="24"/>
          <w:szCs w:val="24"/>
        </w:rPr>
        <w:t>: Disminuciones de fondos basales permanentes para las Universidades Estatales</w:t>
      </w:r>
    </w:p>
    <w:tbl>
      <w:tblPr>
        <w:tblW w:w="7692" w:type="dxa"/>
        <w:jc w:val="center"/>
        <w:tblCellMar>
          <w:left w:w="70" w:type="dxa"/>
          <w:right w:w="70" w:type="dxa"/>
        </w:tblCellMar>
        <w:tblLook w:val="04A0" w:firstRow="1" w:lastRow="0" w:firstColumn="1" w:lastColumn="0" w:noHBand="0" w:noVBand="1"/>
      </w:tblPr>
      <w:tblGrid>
        <w:gridCol w:w="4385"/>
        <w:gridCol w:w="3307"/>
      </w:tblGrid>
      <w:tr w:rsidR="00E41D82" w:rsidRPr="00187E84" w14:paraId="072D8705" w14:textId="77777777" w:rsidTr="00404D98">
        <w:trPr>
          <w:trHeight w:val="259"/>
          <w:jc w:val="center"/>
        </w:trPr>
        <w:tc>
          <w:tcPr>
            <w:tcW w:w="4385" w:type="dxa"/>
            <w:tcBorders>
              <w:top w:val="single" w:sz="8" w:space="0" w:color="999999"/>
              <w:left w:val="single" w:sz="8" w:space="0" w:color="999999"/>
              <w:bottom w:val="single" w:sz="12" w:space="0" w:color="666666"/>
              <w:right w:val="single" w:sz="8" w:space="0" w:color="999999"/>
            </w:tcBorders>
            <w:shd w:val="clear" w:color="auto" w:fill="auto"/>
            <w:noWrap/>
            <w:vAlign w:val="center"/>
            <w:hideMark/>
          </w:tcPr>
          <w:p w14:paraId="58076E43" w14:textId="77777777" w:rsidR="00E41D82" w:rsidRPr="00187E84" w:rsidRDefault="00E41D82" w:rsidP="006D4137">
            <w:pPr>
              <w:spacing w:after="0" w:line="360" w:lineRule="auto"/>
              <w:jc w:val="center"/>
              <w:rPr>
                <w:rFonts w:ascii="Cambria" w:eastAsia="Times New Roman" w:hAnsi="Cambria" w:cstheme="minorHAnsi"/>
                <w:b/>
                <w:sz w:val="24"/>
                <w:szCs w:val="24"/>
                <w:lang w:eastAsia="es-ES_tradnl"/>
              </w:rPr>
            </w:pPr>
            <w:r w:rsidRPr="00187E84">
              <w:rPr>
                <w:rFonts w:ascii="Cambria" w:eastAsia="Times New Roman" w:hAnsi="Cambria" w:cstheme="minorHAnsi"/>
                <w:b/>
                <w:sz w:val="24"/>
                <w:szCs w:val="24"/>
                <w:lang w:eastAsia="es-ES_tradnl"/>
              </w:rPr>
              <w:t>Ítem</w:t>
            </w:r>
          </w:p>
        </w:tc>
        <w:tc>
          <w:tcPr>
            <w:tcW w:w="3307" w:type="dxa"/>
            <w:tcBorders>
              <w:top w:val="single" w:sz="8" w:space="0" w:color="999999"/>
              <w:left w:val="nil"/>
              <w:bottom w:val="single" w:sz="12" w:space="0" w:color="666666"/>
              <w:right w:val="single" w:sz="8" w:space="0" w:color="999999"/>
            </w:tcBorders>
            <w:shd w:val="clear" w:color="auto" w:fill="auto"/>
            <w:noWrap/>
            <w:vAlign w:val="center"/>
            <w:hideMark/>
          </w:tcPr>
          <w:p w14:paraId="62E67406" w14:textId="535D403E" w:rsidR="006D4137" w:rsidRPr="00187E84" w:rsidRDefault="00E41D82" w:rsidP="006D4137">
            <w:pPr>
              <w:spacing w:after="0" w:line="360" w:lineRule="auto"/>
              <w:jc w:val="center"/>
              <w:rPr>
                <w:rFonts w:ascii="Cambria" w:eastAsia="Times New Roman" w:hAnsi="Cambria" w:cstheme="minorHAnsi"/>
                <w:b/>
                <w:sz w:val="24"/>
                <w:szCs w:val="24"/>
                <w:lang w:eastAsia="es-ES_tradnl"/>
              </w:rPr>
            </w:pPr>
            <w:r w:rsidRPr="00187E84">
              <w:rPr>
                <w:rFonts w:ascii="Cambria" w:eastAsia="Times New Roman" w:hAnsi="Cambria" w:cstheme="minorHAnsi"/>
                <w:b/>
                <w:sz w:val="24"/>
                <w:szCs w:val="24"/>
                <w:lang w:eastAsia="es-ES_tradnl"/>
              </w:rPr>
              <w:t>Disminuciones</w:t>
            </w:r>
          </w:p>
          <w:p w14:paraId="301DED83" w14:textId="3DFDF999" w:rsidR="00E41D82" w:rsidRPr="00187E84" w:rsidRDefault="00E41D82" w:rsidP="006D4137">
            <w:pPr>
              <w:spacing w:after="0" w:line="360" w:lineRule="auto"/>
              <w:jc w:val="center"/>
              <w:rPr>
                <w:rFonts w:ascii="Cambria" w:eastAsia="Times New Roman" w:hAnsi="Cambria" w:cstheme="minorHAnsi"/>
                <w:b/>
                <w:sz w:val="24"/>
                <w:szCs w:val="24"/>
                <w:lang w:eastAsia="es-ES_tradnl"/>
              </w:rPr>
            </w:pPr>
            <w:r w:rsidRPr="00187E84">
              <w:rPr>
                <w:rFonts w:ascii="Cambria" w:eastAsia="Times New Roman" w:hAnsi="Cambria" w:cstheme="minorHAnsi"/>
                <w:b/>
                <w:sz w:val="24"/>
                <w:szCs w:val="24"/>
                <w:lang w:eastAsia="es-ES_tradnl"/>
              </w:rPr>
              <w:t>(en miles de pesos 2021)</w:t>
            </w:r>
          </w:p>
        </w:tc>
      </w:tr>
      <w:tr w:rsidR="00E41D82" w:rsidRPr="00187E84" w14:paraId="4654FD9A" w14:textId="77777777" w:rsidTr="00404D98">
        <w:trPr>
          <w:trHeight w:val="273"/>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78A188C7" w14:textId="77777777" w:rsidR="00E41D82" w:rsidRPr="00187E84" w:rsidRDefault="00E41D82" w:rsidP="00FE0C69">
            <w:pPr>
              <w:spacing w:after="0" w:line="360" w:lineRule="auto"/>
              <w:jc w:val="both"/>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Aporte Fiscal Directo</w:t>
            </w:r>
          </w:p>
        </w:tc>
        <w:tc>
          <w:tcPr>
            <w:tcW w:w="3307" w:type="dxa"/>
            <w:tcBorders>
              <w:top w:val="nil"/>
              <w:left w:val="nil"/>
              <w:bottom w:val="single" w:sz="8" w:space="0" w:color="999999"/>
              <w:right w:val="single" w:sz="8" w:space="0" w:color="999999"/>
            </w:tcBorders>
            <w:shd w:val="clear" w:color="auto" w:fill="auto"/>
            <w:noWrap/>
            <w:vAlign w:val="center"/>
            <w:hideMark/>
          </w:tcPr>
          <w:p w14:paraId="680942CF"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$7.464.150</w:t>
            </w:r>
          </w:p>
        </w:tc>
      </w:tr>
      <w:tr w:rsidR="00E41D82" w:rsidRPr="00187E84" w14:paraId="241C2BBF" w14:textId="77777777" w:rsidTr="00404D98">
        <w:trPr>
          <w:trHeight w:val="259"/>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4591E732" w14:textId="77777777" w:rsidR="00E41D82" w:rsidRPr="00187E84" w:rsidRDefault="00E41D82" w:rsidP="00FE0C69">
            <w:pPr>
              <w:spacing w:after="0" w:line="360" w:lineRule="auto"/>
              <w:jc w:val="both"/>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Aporte institucional (AIUE)</w:t>
            </w:r>
          </w:p>
        </w:tc>
        <w:tc>
          <w:tcPr>
            <w:tcW w:w="3307" w:type="dxa"/>
            <w:tcBorders>
              <w:top w:val="nil"/>
              <w:left w:val="nil"/>
              <w:bottom w:val="single" w:sz="8" w:space="0" w:color="999999"/>
              <w:right w:val="single" w:sz="8" w:space="0" w:color="999999"/>
            </w:tcBorders>
            <w:shd w:val="clear" w:color="auto" w:fill="auto"/>
            <w:noWrap/>
            <w:vAlign w:val="center"/>
            <w:hideMark/>
          </w:tcPr>
          <w:p w14:paraId="095F325F"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$3.071.911</w:t>
            </w:r>
          </w:p>
        </w:tc>
      </w:tr>
      <w:tr w:rsidR="00E41D82" w:rsidRPr="00187E84" w14:paraId="5434A599" w14:textId="77777777" w:rsidTr="00404D98">
        <w:trPr>
          <w:trHeight w:val="259"/>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67C711EE" w14:textId="77777777" w:rsidR="00E41D82" w:rsidRPr="00187E84" w:rsidRDefault="00E41D82" w:rsidP="00FE0C69">
            <w:pPr>
              <w:spacing w:after="0" w:line="360" w:lineRule="auto"/>
              <w:jc w:val="both"/>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 xml:space="preserve">Fondo de Desarrollo Institucional (FDI) </w:t>
            </w:r>
          </w:p>
        </w:tc>
        <w:tc>
          <w:tcPr>
            <w:tcW w:w="3307" w:type="dxa"/>
            <w:tcBorders>
              <w:top w:val="nil"/>
              <w:left w:val="nil"/>
              <w:bottom w:val="single" w:sz="8" w:space="0" w:color="999999"/>
              <w:right w:val="single" w:sz="8" w:space="0" w:color="999999"/>
            </w:tcBorders>
            <w:shd w:val="clear" w:color="auto" w:fill="auto"/>
            <w:noWrap/>
            <w:vAlign w:val="center"/>
            <w:hideMark/>
          </w:tcPr>
          <w:p w14:paraId="5B07C59B"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$2.459.393</w:t>
            </w:r>
          </w:p>
        </w:tc>
      </w:tr>
      <w:tr w:rsidR="00E41D82" w:rsidRPr="00187E84" w14:paraId="16560690" w14:textId="77777777" w:rsidTr="00404D98">
        <w:trPr>
          <w:trHeight w:val="259"/>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02C1B3B4" w14:textId="77777777" w:rsidR="00E41D82" w:rsidRPr="00187E84" w:rsidRDefault="00E41D82" w:rsidP="00FE0C69">
            <w:pPr>
              <w:spacing w:after="0" w:line="360" w:lineRule="auto"/>
              <w:jc w:val="both"/>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Educación Superior Regional</w:t>
            </w:r>
          </w:p>
        </w:tc>
        <w:tc>
          <w:tcPr>
            <w:tcW w:w="3307" w:type="dxa"/>
            <w:tcBorders>
              <w:top w:val="nil"/>
              <w:left w:val="nil"/>
              <w:bottom w:val="single" w:sz="8" w:space="0" w:color="999999"/>
              <w:right w:val="single" w:sz="8" w:space="0" w:color="999999"/>
            </w:tcBorders>
            <w:shd w:val="clear" w:color="auto" w:fill="auto"/>
            <w:noWrap/>
            <w:vAlign w:val="center"/>
            <w:hideMark/>
          </w:tcPr>
          <w:p w14:paraId="5C17C10D"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$1.213.597</w:t>
            </w:r>
          </w:p>
        </w:tc>
      </w:tr>
      <w:tr w:rsidR="00E41D82" w:rsidRPr="00187E84" w14:paraId="60D18664" w14:textId="77777777" w:rsidTr="00404D98">
        <w:trPr>
          <w:trHeight w:val="259"/>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7D468FEF" w14:textId="77777777" w:rsidR="00E41D82" w:rsidRPr="00187E84" w:rsidRDefault="00E41D82" w:rsidP="00FE0C69">
            <w:pPr>
              <w:spacing w:after="0" w:line="360" w:lineRule="auto"/>
              <w:jc w:val="both"/>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Universidad de Chile</w:t>
            </w:r>
          </w:p>
        </w:tc>
        <w:tc>
          <w:tcPr>
            <w:tcW w:w="3307" w:type="dxa"/>
            <w:tcBorders>
              <w:top w:val="nil"/>
              <w:left w:val="nil"/>
              <w:bottom w:val="single" w:sz="8" w:space="0" w:color="999999"/>
              <w:right w:val="single" w:sz="8" w:space="0" w:color="999999"/>
            </w:tcBorders>
            <w:shd w:val="clear" w:color="auto" w:fill="auto"/>
            <w:noWrap/>
            <w:vAlign w:val="center"/>
            <w:hideMark/>
          </w:tcPr>
          <w:p w14:paraId="170CCAEC"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$2.199.451</w:t>
            </w:r>
          </w:p>
        </w:tc>
      </w:tr>
      <w:tr w:rsidR="00E41D82" w:rsidRPr="00187E84" w14:paraId="2618DF91" w14:textId="77777777" w:rsidTr="00404D98">
        <w:trPr>
          <w:trHeight w:val="259"/>
          <w:jc w:val="center"/>
        </w:trPr>
        <w:tc>
          <w:tcPr>
            <w:tcW w:w="4385" w:type="dxa"/>
            <w:tcBorders>
              <w:top w:val="nil"/>
              <w:left w:val="single" w:sz="8" w:space="0" w:color="999999"/>
              <w:bottom w:val="double" w:sz="4" w:space="0" w:color="A5A5A5" w:themeColor="accent3"/>
              <w:right w:val="single" w:sz="8" w:space="0" w:color="999999"/>
            </w:tcBorders>
            <w:shd w:val="clear" w:color="auto" w:fill="auto"/>
            <w:noWrap/>
            <w:vAlign w:val="center"/>
            <w:hideMark/>
          </w:tcPr>
          <w:p w14:paraId="611D8F2E" w14:textId="77777777" w:rsidR="00E41D82" w:rsidRPr="00187E84" w:rsidRDefault="00E41D82" w:rsidP="00FE0C69">
            <w:pPr>
              <w:spacing w:after="0" w:line="360" w:lineRule="auto"/>
              <w:jc w:val="both"/>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 xml:space="preserve">Actividades de interés nacional </w:t>
            </w:r>
          </w:p>
        </w:tc>
        <w:tc>
          <w:tcPr>
            <w:tcW w:w="3307" w:type="dxa"/>
            <w:tcBorders>
              <w:top w:val="nil"/>
              <w:left w:val="nil"/>
              <w:bottom w:val="double" w:sz="4" w:space="0" w:color="A5A5A5" w:themeColor="accent3"/>
              <w:right w:val="single" w:sz="8" w:space="0" w:color="999999"/>
            </w:tcBorders>
            <w:shd w:val="clear" w:color="auto" w:fill="auto"/>
            <w:noWrap/>
            <w:vAlign w:val="center"/>
            <w:hideMark/>
          </w:tcPr>
          <w:p w14:paraId="460AC448"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$5.291.697</w:t>
            </w:r>
          </w:p>
        </w:tc>
      </w:tr>
      <w:tr w:rsidR="00E41D82" w:rsidRPr="00187E84" w14:paraId="45B1500F" w14:textId="77777777" w:rsidTr="00404D98">
        <w:trPr>
          <w:trHeight w:val="259"/>
          <w:jc w:val="center"/>
        </w:trPr>
        <w:tc>
          <w:tcPr>
            <w:tcW w:w="4385" w:type="dxa"/>
            <w:tcBorders>
              <w:top w:val="double" w:sz="4" w:space="0" w:color="A5A5A5" w:themeColor="accent3"/>
              <w:left w:val="single" w:sz="8" w:space="0" w:color="999999"/>
              <w:bottom w:val="single" w:sz="8" w:space="0" w:color="999999"/>
              <w:right w:val="single" w:sz="8" w:space="0" w:color="999999"/>
            </w:tcBorders>
            <w:shd w:val="clear" w:color="auto" w:fill="auto"/>
            <w:noWrap/>
            <w:vAlign w:val="center"/>
            <w:hideMark/>
          </w:tcPr>
          <w:p w14:paraId="23457640" w14:textId="77777777" w:rsidR="00E41D82" w:rsidRPr="00187E84" w:rsidRDefault="00E41D82" w:rsidP="00FE0C69">
            <w:pPr>
              <w:spacing w:after="0" w:line="360" w:lineRule="auto"/>
              <w:jc w:val="both"/>
              <w:rPr>
                <w:rFonts w:ascii="Cambria" w:eastAsia="Times New Roman" w:hAnsi="Cambria" w:cstheme="minorHAnsi"/>
                <w:b/>
                <w:bCs/>
                <w:sz w:val="24"/>
                <w:szCs w:val="24"/>
                <w:lang w:eastAsia="es-ES_tradnl"/>
              </w:rPr>
            </w:pPr>
            <w:r w:rsidRPr="00187E84">
              <w:rPr>
                <w:rFonts w:ascii="Cambria" w:eastAsia="Times New Roman" w:hAnsi="Cambria" w:cstheme="minorHAnsi"/>
                <w:b/>
                <w:bCs/>
                <w:sz w:val="24"/>
                <w:szCs w:val="24"/>
                <w:lang w:eastAsia="es-ES_tradnl"/>
              </w:rPr>
              <w:t>Total</w:t>
            </w:r>
          </w:p>
        </w:tc>
        <w:tc>
          <w:tcPr>
            <w:tcW w:w="3307" w:type="dxa"/>
            <w:tcBorders>
              <w:top w:val="double" w:sz="4" w:space="0" w:color="A5A5A5" w:themeColor="accent3"/>
              <w:left w:val="nil"/>
              <w:bottom w:val="single" w:sz="8" w:space="0" w:color="999999"/>
              <w:right w:val="single" w:sz="8" w:space="0" w:color="999999"/>
            </w:tcBorders>
            <w:shd w:val="clear" w:color="auto" w:fill="auto"/>
            <w:noWrap/>
            <w:vAlign w:val="center"/>
            <w:hideMark/>
          </w:tcPr>
          <w:p w14:paraId="3AD62E0C" w14:textId="77777777" w:rsidR="00E41D82" w:rsidRPr="00187E84" w:rsidRDefault="00E41D82" w:rsidP="00404D98">
            <w:pPr>
              <w:spacing w:after="0" w:line="360" w:lineRule="auto"/>
              <w:jc w:val="right"/>
              <w:rPr>
                <w:rFonts w:ascii="Cambria" w:eastAsia="Times New Roman" w:hAnsi="Cambria" w:cstheme="minorHAnsi"/>
                <w:b/>
                <w:bCs/>
                <w:sz w:val="24"/>
                <w:szCs w:val="24"/>
                <w:lang w:eastAsia="es-ES_tradnl"/>
              </w:rPr>
            </w:pPr>
            <w:r w:rsidRPr="00187E84">
              <w:rPr>
                <w:rFonts w:ascii="Cambria" w:eastAsia="Times New Roman" w:hAnsi="Cambria" w:cstheme="minorHAnsi"/>
                <w:b/>
                <w:bCs/>
                <w:sz w:val="24"/>
                <w:szCs w:val="24"/>
                <w:lang w:eastAsia="es-ES_tradnl"/>
              </w:rPr>
              <w:t>$21.700.199</w:t>
            </w:r>
          </w:p>
        </w:tc>
      </w:tr>
    </w:tbl>
    <w:p w14:paraId="3E593727" w14:textId="77777777" w:rsidR="00E41D82" w:rsidRDefault="00E41D82" w:rsidP="00E41D82">
      <w:pPr>
        <w:spacing w:after="0" w:line="360" w:lineRule="auto"/>
        <w:jc w:val="both"/>
        <w:rPr>
          <w:rFonts w:ascii="Cambria" w:hAnsi="Cambria" w:cstheme="minorHAnsi"/>
          <w:sz w:val="24"/>
          <w:szCs w:val="24"/>
        </w:rPr>
      </w:pPr>
    </w:p>
    <w:p w14:paraId="16E20BEA" w14:textId="77777777" w:rsidR="00404D98" w:rsidRPr="00187E84" w:rsidRDefault="00404D98" w:rsidP="00E41D82">
      <w:pPr>
        <w:spacing w:after="0" w:line="360" w:lineRule="auto"/>
        <w:jc w:val="both"/>
        <w:rPr>
          <w:rFonts w:ascii="Cambria" w:hAnsi="Cambria" w:cstheme="minorHAnsi"/>
          <w:sz w:val="24"/>
          <w:szCs w:val="24"/>
        </w:rPr>
      </w:pPr>
    </w:p>
    <w:p w14:paraId="0E6A1FC0" w14:textId="0A43F6AC" w:rsidR="00E41D82" w:rsidRPr="00187E84" w:rsidRDefault="00E41D82" w:rsidP="006D4137">
      <w:pPr>
        <w:pStyle w:val="Descripcin"/>
        <w:keepNext/>
        <w:spacing w:after="0" w:line="360" w:lineRule="auto"/>
        <w:jc w:val="center"/>
        <w:rPr>
          <w:rFonts w:ascii="Cambria" w:hAnsi="Cambria" w:cstheme="minorHAnsi"/>
          <w:b/>
          <w:color w:val="auto"/>
          <w:sz w:val="24"/>
          <w:szCs w:val="24"/>
        </w:rPr>
      </w:pPr>
      <w:r w:rsidRPr="00187E84">
        <w:rPr>
          <w:rFonts w:ascii="Cambria" w:hAnsi="Cambria" w:cstheme="minorHAnsi"/>
          <w:b/>
          <w:color w:val="auto"/>
          <w:sz w:val="24"/>
          <w:szCs w:val="24"/>
        </w:rPr>
        <w:t xml:space="preserve">Tabla </w:t>
      </w:r>
      <w:r w:rsidRPr="00187E84">
        <w:rPr>
          <w:rFonts w:ascii="Cambria" w:hAnsi="Cambria" w:cstheme="minorHAnsi"/>
          <w:b/>
          <w:color w:val="auto"/>
          <w:sz w:val="24"/>
          <w:szCs w:val="24"/>
        </w:rPr>
        <w:fldChar w:fldCharType="begin"/>
      </w:r>
      <w:r w:rsidRPr="00187E84">
        <w:rPr>
          <w:rFonts w:ascii="Cambria" w:hAnsi="Cambria" w:cstheme="minorHAnsi"/>
          <w:b/>
          <w:color w:val="auto"/>
          <w:sz w:val="24"/>
          <w:szCs w:val="24"/>
        </w:rPr>
        <w:instrText xml:space="preserve"> SEQ Tabla \* ARABIC </w:instrText>
      </w:r>
      <w:r w:rsidRPr="00187E84">
        <w:rPr>
          <w:rFonts w:ascii="Cambria" w:hAnsi="Cambria" w:cstheme="minorHAnsi"/>
          <w:b/>
          <w:color w:val="auto"/>
          <w:sz w:val="24"/>
          <w:szCs w:val="24"/>
        </w:rPr>
        <w:fldChar w:fldCharType="separate"/>
      </w:r>
      <w:r w:rsidRPr="00187E84">
        <w:rPr>
          <w:rFonts w:ascii="Cambria" w:hAnsi="Cambria" w:cstheme="minorHAnsi"/>
          <w:b/>
          <w:noProof/>
          <w:color w:val="auto"/>
          <w:sz w:val="24"/>
          <w:szCs w:val="24"/>
        </w:rPr>
        <w:t>2</w:t>
      </w:r>
      <w:r w:rsidRPr="00187E84">
        <w:rPr>
          <w:rFonts w:ascii="Cambria" w:hAnsi="Cambria" w:cstheme="minorHAnsi"/>
          <w:b/>
          <w:color w:val="auto"/>
          <w:sz w:val="24"/>
          <w:szCs w:val="24"/>
        </w:rPr>
        <w:fldChar w:fldCharType="end"/>
      </w:r>
      <w:r w:rsidRPr="00187E84">
        <w:rPr>
          <w:rFonts w:ascii="Cambria" w:hAnsi="Cambria" w:cstheme="minorHAnsi"/>
          <w:b/>
          <w:color w:val="auto"/>
          <w:sz w:val="24"/>
          <w:szCs w:val="24"/>
        </w:rPr>
        <w:t xml:space="preserve">: Disminuciones de fondos basales permanentes para las Universidades </w:t>
      </w:r>
      <w:r w:rsidR="006D4137" w:rsidRPr="00187E84">
        <w:rPr>
          <w:rFonts w:ascii="Cambria" w:hAnsi="Cambria" w:cstheme="minorHAnsi"/>
          <w:b/>
          <w:color w:val="auto"/>
          <w:sz w:val="24"/>
          <w:szCs w:val="24"/>
        </w:rPr>
        <w:t>Públicas No Estatales</w:t>
      </w:r>
      <w:r w:rsidRPr="00187E84">
        <w:rPr>
          <w:rFonts w:ascii="Cambria" w:hAnsi="Cambria" w:cstheme="minorHAnsi"/>
          <w:b/>
          <w:color w:val="auto"/>
          <w:sz w:val="24"/>
          <w:szCs w:val="24"/>
        </w:rPr>
        <w:t xml:space="preserve"> CRUCH</w:t>
      </w:r>
    </w:p>
    <w:tbl>
      <w:tblPr>
        <w:tblW w:w="7616" w:type="dxa"/>
        <w:jc w:val="center"/>
        <w:tblCellMar>
          <w:left w:w="70" w:type="dxa"/>
          <w:right w:w="70" w:type="dxa"/>
        </w:tblCellMar>
        <w:tblLook w:val="04A0" w:firstRow="1" w:lastRow="0" w:firstColumn="1" w:lastColumn="0" w:noHBand="0" w:noVBand="1"/>
      </w:tblPr>
      <w:tblGrid>
        <w:gridCol w:w="4385"/>
        <w:gridCol w:w="3231"/>
      </w:tblGrid>
      <w:tr w:rsidR="00E41D82" w:rsidRPr="00187E84" w14:paraId="18F8B3FD" w14:textId="77777777" w:rsidTr="00404D98">
        <w:trPr>
          <w:trHeight w:val="293"/>
          <w:jc w:val="center"/>
        </w:trPr>
        <w:tc>
          <w:tcPr>
            <w:tcW w:w="4385" w:type="dxa"/>
            <w:tcBorders>
              <w:top w:val="single" w:sz="8" w:space="0" w:color="999999"/>
              <w:left w:val="single" w:sz="8" w:space="0" w:color="999999"/>
              <w:bottom w:val="single" w:sz="12" w:space="0" w:color="666666"/>
              <w:right w:val="single" w:sz="8" w:space="0" w:color="999999"/>
            </w:tcBorders>
            <w:shd w:val="clear" w:color="auto" w:fill="auto"/>
            <w:noWrap/>
            <w:vAlign w:val="center"/>
            <w:hideMark/>
          </w:tcPr>
          <w:p w14:paraId="1850CFB6" w14:textId="77777777" w:rsidR="00E41D82" w:rsidRPr="00187E84" w:rsidRDefault="00E41D82" w:rsidP="006D4137">
            <w:pPr>
              <w:spacing w:after="0" w:line="360" w:lineRule="auto"/>
              <w:jc w:val="center"/>
              <w:rPr>
                <w:rFonts w:ascii="Cambria" w:eastAsia="Times New Roman" w:hAnsi="Cambria" w:cstheme="minorHAnsi"/>
                <w:b/>
                <w:sz w:val="24"/>
                <w:szCs w:val="24"/>
                <w:lang w:eastAsia="es-ES_tradnl"/>
              </w:rPr>
            </w:pPr>
            <w:r w:rsidRPr="00187E84">
              <w:rPr>
                <w:rFonts w:ascii="Cambria" w:eastAsia="Times New Roman" w:hAnsi="Cambria" w:cstheme="minorHAnsi"/>
                <w:b/>
                <w:sz w:val="24"/>
                <w:szCs w:val="24"/>
                <w:lang w:eastAsia="es-ES_tradnl"/>
              </w:rPr>
              <w:t>Item</w:t>
            </w:r>
          </w:p>
        </w:tc>
        <w:tc>
          <w:tcPr>
            <w:tcW w:w="3231" w:type="dxa"/>
            <w:tcBorders>
              <w:top w:val="single" w:sz="8" w:space="0" w:color="999999"/>
              <w:left w:val="nil"/>
              <w:bottom w:val="single" w:sz="12" w:space="0" w:color="666666"/>
              <w:right w:val="single" w:sz="8" w:space="0" w:color="999999"/>
            </w:tcBorders>
            <w:shd w:val="clear" w:color="auto" w:fill="auto"/>
            <w:noWrap/>
            <w:vAlign w:val="center"/>
            <w:hideMark/>
          </w:tcPr>
          <w:p w14:paraId="6C5AE957" w14:textId="77777777" w:rsidR="006D4137" w:rsidRPr="00187E84" w:rsidRDefault="00E41D82" w:rsidP="006D4137">
            <w:pPr>
              <w:spacing w:after="0" w:line="360" w:lineRule="auto"/>
              <w:jc w:val="center"/>
              <w:rPr>
                <w:rFonts w:ascii="Cambria" w:eastAsia="Times New Roman" w:hAnsi="Cambria" w:cstheme="minorHAnsi"/>
                <w:b/>
                <w:sz w:val="24"/>
                <w:szCs w:val="24"/>
                <w:lang w:eastAsia="es-ES_tradnl"/>
              </w:rPr>
            </w:pPr>
            <w:r w:rsidRPr="00187E84">
              <w:rPr>
                <w:rFonts w:ascii="Cambria" w:eastAsia="Times New Roman" w:hAnsi="Cambria" w:cstheme="minorHAnsi"/>
                <w:b/>
                <w:sz w:val="24"/>
                <w:szCs w:val="24"/>
                <w:lang w:eastAsia="es-ES_tradnl"/>
              </w:rPr>
              <w:t xml:space="preserve">Disminuciones </w:t>
            </w:r>
          </w:p>
          <w:p w14:paraId="6F3D2D1D" w14:textId="76B6AC08" w:rsidR="00E41D82" w:rsidRPr="00187E84" w:rsidRDefault="00E41D82" w:rsidP="006D4137">
            <w:pPr>
              <w:spacing w:after="0" w:line="360" w:lineRule="auto"/>
              <w:jc w:val="center"/>
              <w:rPr>
                <w:rFonts w:ascii="Cambria" w:eastAsia="Times New Roman" w:hAnsi="Cambria" w:cstheme="minorHAnsi"/>
                <w:b/>
                <w:sz w:val="24"/>
                <w:szCs w:val="24"/>
                <w:lang w:eastAsia="es-ES_tradnl"/>
              </w:rPr>
            </w:pPr>
            <w:r w:rsidRPr="00187E84">
              <w:rPr>
                <w:rFonts w:ascii="Cambria" w:eastAsia="Times New Roman" w:hAnsi="Cambria" w:cstheme="minorHAnsi"/>
                <w:b/>
                <w:sz w:val="24"/>
                <w:szCs w:val="24"/>
                <w:lang w:eastAsia="es-ES_tradnl"/>
              </w:rPr>
              <w:t>(en miles de pesos 2021)</w:t>
            </w:r>
          </w:p>
        </w:tc>
      </w:tr>
      <w:tr w:rsidR="00E41D82" w:rsidRPr="00187E84" w14:paraId="49E32C44" w14:textId="77777777" w:rsidTr="00404D98">
        <w:trPr>
          <w:trHeight w:val="293"/>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181DAD88" w14:textId="77777777" w:rsidR="00E41D82" w:rsidRPr="00187E84" w:rsidRDefault="00E41D82" w:rsidP="006D4137">
            <w:pPr>
              <w:spacing w:after="0" w:line="360" w:lineRule="auto"/>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Aporte Fiscal Directo</w:t>
            </w:r>
          </w:p>
        </w:tc>
        <w:tc>
          <w:tcPr>
            <w:tcW w:w="3231" w:type="dxa"/>
            <w:tcBorders>
              <w:top w:val="nil"/>
              <w:left w:val="nil"/>
              <w:bottom w:val="single" w:sz="8" w:space="0" w:color="999999"/>
              <w:right w:val="single" w:sz="8" w:space="0" w:color="999999"/>
            </w:tcBorders>
            <w:shd w:val="clear" w:color="auto" w:fill="auto"/>
            <w:noWrap/>
            <w:vAlign w:val="center"/>
            <w:hideMark/>
          </w:tcPr>
          <w:p w14:paraId="4596EBDC"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$5.112.621</w:t>
            </w:r>
          </w:p>
        </w:tc>
      </w:tr>
      <w:tr w:rsidR="00E41D82" w:rsidRPr="00187E84" w14:paraId="548BBB3E" w14:textId="77777777" w:rsidTr="00404D98">
        <w:trPr>
          <w:trHeight w:val="293"/>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2B260246" w14:textId="789A3AB1" w:rsidR="00E41D82" w:rsidRPr="00187E84" w:rsidRDefault="006D4137" w:rsidP="006D4137">
            <w:pPr>
              <w:spacing w:after="0" w:line="360" w:lineRule="auto"/>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Fondo Basal por D</w:t>
            </w:r>
            <w:r w:rsidR="00E41D82" w:rsidRPr="00187E84">
              <w:rPr>
                <w:rFonts w:ascii="Cambria" w:eastAsia="Times New Roman" w:hAnsi="Cambria" w:cstheme="minorHAnsi"/>
                <w:sz w:val="24"/>
                <w:szCs w:val="24"/>
                <w:lang w:eastAsia="es-ES_tradnl"/>
              </w:rPr>
              <w:t>esempeño</w:t>
            </w:r>
          </w:p>
        </w:tc>
        <w:tc>
          <w:tcPr>
            <w:tcW w:w="3231" w:type="dxa"/>
            <w:tcBorders>
              <w:top w:val="nil"/>
              <w:left w:val="nil"/>
              <w:bottom w:val="single" w:sz="8" w:space="0" w:color="999999"/>
              <w:right w:val="single" w:sz="8" w:space="0" w:color="999999"/>
            </w:tcBorders>
            <w:shd w:val="clear" w:color="auto" w:fill="auto"/>
            <w:noWrap/>
            <w:vAlign w:val="center"/>
            <w:hideMark/>
          </w:tcPr>
          <w:p w14:paraId="6C31FB8A"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$6.161.413</w:t>
            </w:r>
          </w:p>
        </w:tc>
      </w:tr>
      <w:tr w:rsidR="00E41D82" w:rsidRPr="00187E84" w14:paraId="5B133205" w14:textId="77777777" w:rsidTr="00404D98">
        <w:trPr>
          <w:trHeight w:val="293"/>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0F9B18C3" w14:textId="77777777" w:rsidR="00E41D82" w:rsidRPr="00187E84" w:rsidRDefault="00E41D82" w:rsidP="006D4137">
            <w:pPr>
              <w:spacing w:after="0" w:line="360" w:lineRule="auto"/>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Educación Superior Regional</w:t>
            </w:r>
          </w:p>
        </w:tc>
        <w:tc>
          <w:tcPr>
            <w:tcW w:w="3231" w:type="dxa"/>
            <w:tcBorders>
              <w:top w:val="nil"/>
              <w:left w:val="nil"/>
              <w:bottom w:val="single" w:sz="8" w:space="0" w:color="999999"/>
              <w:right w:val="single" w:sz="8" w:space="0" w:color="999999"/>
            </w:tcBorders>
            <w:shd w:val="clear" w:color="auto" w:fill="auto"/>
            <w:noWrap/>
            <w:vAlign w:val="center"/>
            <w:hideMark/>
          </w:tcPr>
          <w:p w14:paraId="4C119F25"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$336.894</w:t>
            </w:r>
          </w:p>
        </w:tc>
      </w:tr>
      <w:tr w:rsidR="00E41D82" w:rsidRPr="00187E84" w14:paraId="551DFF5D" w14:textId="77777777" w:rsidTr="00404D98">
        <w:trPr>
          <w:trHeight w:val="293"/>
          <w:jc w:val="center"/>
        </w:trPr>
        <w:tc>
          <w:tcPr>
            <w:tcW w:w="4385" w:type="dxa"/>
            <w:tcBorders>
              <w:top w:val="nil"/>
              <w:left w:val="single" w:sz="8" w:space="0" w:color="999999"/>
              <w:bottom w:val="single" w:sz="8" w:space="0" w:color="999999"/>
              <w:right w:val="single" w:sz="8" w:space="0" w:color="999999"/>
            </w:tcBorders>
            <w:shd w:val="clear" w:color="auto" w:fill="auto"/>
            <w:noWrap/>
            <w:vAlign w:val="center"/>
            <w:hideMark/>
          </w:tcPr>
          <w:p w14:paraId="0A72D305" w14:textId="77777777" w:rsidR="00E41D82" w:rsidRPr="00187E84" w:rsidRDefault="00E41D82" w:rsidP="006D4137">
            <w:pPr>
              <w:spacing w:after="0" w:line="360" w:lineRule="auto"/>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 xml:space="preserve">Fondo de Desarrollo Institucional (FDI) </w:t>
            </w:r>
          </w:p>
        </w:tc>
        <w:tc>
          <w:tcPr>
            <w:tcW w:w="3231" w:type="dxa"/>
            <w:tcBorders>
              <w:top w:val="nil"/>
              <w:left w:val="nil"/>
              <w:bottom w:val="single" w:sz="8" w:space="0" w:color="999999"/>
              <w:right w:val="single" w:sz="8" w:space="0" w:color="999999"/>
            </w:tcBorders>
            <w:shd w:val="clear" w:color="auto" w:fill="auto"/>
            <w:noWrap/>
            <w:vAlign w:val="center"/>
            <w:hideMark/>
          </w:tcPr>
          <w:p w14:paraId="72161B30"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$7.466.750</w:t>
            </w:r>
          </w:p>
        </w:tc>
      </w:tr>
      <w:tr w:rsidR="00E41D82" w:rsidRPr="00187E84" w14:paraId="4BEADF49" w14:textId="77777777" w:rsidTr="00404D98">
        <w:trPr>
          <w:trHeight w:val="293"/>
          <w:jc w:val="center"/>
        </w:trPr>
        <w:tc>
          <w:tcPr>
            <w:tcW w:w="4385" w:type="dxa"/>
            <w:tcBorders>
              <w:top w:val="nil"/>
              <w:left w:val="single" w:sz="8" w:space="0" w:color="999999"/>
              <w:bottom w:val="double" w:sz="4" w:space="0" w:color="A5A5A5" w:themeColor="accent3"/>
              <w:right w:val="single" w:sz="8" w:space="0" w:color="999999"/>
            </w:tcBorders>
            <w:shd w:val="clear" w:color="auto" w:fill="auto"/>
            <w:noWrap/>
            <w:vAlign w:val="center"/>
            <w:hideMark/>
          </w:tcPr>
          <w:p w14:paraId="7ADA8798" w14:textId="77777777" w:rsidR="00E41D82" w:rsidRPr="00187E84" w:rsidRDefault="00E41D82" w:rsidP="006D4137">
            <w:pPr>
              <w:spacing w:after="0" w:line="360" w:lineRule="auto"/>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Fondo de Fortalecimiento</w:t>
            </w:r>
          </w:p>
        </w:tc>
        <w:tc>
          <w:tcPr>
            <w:tcW w:w="3231" w:type="dxa"/>
            <w:tcBorders>
              <w:top w:val="nil"/>
              <w:left w:val="nil"/>
              <w:bottom w:val="double" w:sz="4" w:space="0" w:color="A5A5A5" w:themeColor="accent3"/>
              <w:right w:val="single" w:sz="8" w:space="0" w:color="999999"/>
            </w:tcBorders>
            <w:shd w:val="clear" w:color="auto" w:fill="auto"/>
            <w:noWrap/>
            <w:vAlign w:val="center"/>
            <w:hideMark/>
          </w:tcPr>
          <w:p w14:paraId="2C90D93E" w14:textId="77777777" w:rsidR="00E41D82" w:rsidRPr="00187E84" w:rsidRDefault="00E41D82" w:rsidP="00404D98">
            <w:pPr>
              <w:spacing w:after="0" w:line="360" w:lineRule="auto"/>
              <w:jc w:val="right"/>
              <w:rPr>
                <w:rFonts w:ascii="Cambria" w:eastAsia="Times New Roman" w:hAnsi="Cambria" w:cstheme="minorHAnsi"/>
                <w:sz w:val="24"/>
                <w:szCs w:val="24"/>
                <w:lang w:eastAsia="es-ES_tradnl"/>
              </w:rPr>
            </w:pPr>
            <w:r w:rsidRPr="00187E84">
              <w:rPr>
                <w:rFonts w:ascii="Cambria" w:eastAsia="Times New Roman" w:hAnsi="Cambria" w:cstheme="minorHAnsi"/>
                <w:sz w:val="24"/>
                <w:szCs w:val="24"/>
                <w:lang w:eastAsia="es-ES_tradnl"/>
              </w:rPr>
              <w:t>$1.534.820</w:t>
            </w:r>
          </w:p>
        </w:tc>
      </w:tr>
      <w:tr w:rsidR="00E41D82" w:rsidRPr="00187E84" w14:paraId="4C7EBBDA" w14:textId="77777777" w:rsidTr="00404D98">
        <w:trPr>
          <w:trHeight w:val="293"/>
          <w:jc w:val="center"/>
        </w:trPr>
        <w:tc>
          <w:tcPr>
            <w:tcW w:w="4385" w:type="dxa"/>
            <w:tcBorders>
              <w:top w:val="double" w:sz="4" w:space="0" w:color="A5A5A5" w:themeColor="accent3"/>
              <w:left w:val="single" w:sz="8" w:space="0" w:color="999999"/>
              <w:bottom w:val="single" w:sz="8" w:space="0" w:color="999999"/>
              <w:right w:val="single" w:sz="8" w:space="0" w:color="999999"/>
            </w:tcBorders>
            <w:shd w:val="clear" w:color="auto" w:fill="auto"/>
            <w:noWrap/>
            <w:vAlign w:val="center"/>
            <w:hideMark/>
          </w:tcPr>
          <w:p w14:paraId="0C84E377" w14:textId="77777777" w:rsidR="00E41D82" w:rsidRPr="00187E84" w:rsidRDefault="00E41D82" w:rsidP="00FE0C69">
            <w:pPr>
              <w:spacing w:after="0" w:line="360" w:lineRule="auto"/>
              <w:jc w:val="both"/>
              <w:rPr>
                <w:rFonts w:ascii="Cambria" w:eastAsia="Times New Roman" w:hAnsi="Cambria" w:cstheme="minorHAnsi"/>
                <w:b/>
                <w:bCs/>
                <w:sz w:val="24"/>
                <w:szCs w:val="24"/>
                <w:lang w:eastAsia="es-ES_tradnl"/>
              </w:rPr>
            </w:pPr>
            <w:r w:rsidRPr="00187E84">
              <w:rPr>
                <w:rFonts w:ascii="Cambria" w:eastAsia="Times New Roman" w:hAnsi="Cambria" w:cstheme="minorHAnsi"/>
                <w:b/>
                <w:bCs/>
                <w:sz w:val="24"/>
                <w:szCs w:val="24"/>
                <w:lang w:eastAsia="es-ES_tradnl"/>
              </w:rPr>
              <w:t>Total</w:t>
            </w:r>
          </w:p>
        </w:tc>
        <w:tc>
          <w:tcPr>
            <w:tcW w:w="3231" w:type="dxa"/>
            <w:tcBorders>
              <w:top w:val="double" w:sz="4" w:space="0" w:color="A5A5A5" w:themeColor="accent3"/>
              <w:left w:val="nil"/>
              <w:bottom w:val="single" w:sz="8" w:space="0" w:color="999999"/>
              <w:right w:val="single" w:sz="8" w:space="0" w:color="999999"/>
            </w:tcBorders>
            <w:shd w:val="clear" w:color="auto" w:fill="auto"/>
            <w:noWrap/>
            <w:vAlign w:val="center"/>
            <w:hideMark/>
          </w:tcPr>
          <w:p w14:paraId="61170DF1" w14:textId="77777777" w:rsidR="00E41D82" w:rsidRPr="00187E84" w:rsidRDefault="00E41D82" w:rsidP="00404D98">
            <w:pPr>
              <w:spacing w:after="0" w:line="360" w:lineRule="auto"/>
              <w:jc w:val="right"/>
              <w:rPr>
                <w:rFonts w:ascii="Cambria" w:eastAsia="Times New Roman" w:hAnsi="Cambria" w:cstheme="minorHAnsi"/>
                <w:b/>
                <w:bCs/>
                <w:sz w:val="24"/>
                <w:szCs w:val="24"/>
                <w:lang w:eastAsia="es-ES_tradnl"/>
              </w:rPr>
            </w:pPr>
            <w:r w:rsidRPr="00187E84">
              <w:rPr>
                <w:rFonts w:ascii="Cambria" w:eastAsia="Times New Roman" w:hAnsi="Cambria" w:cstheme="minorHAnsi"/>
                <w:b/>
                <w:bCs/>
                <w:sz w:val="24"/>
                <w:szCs w:val="24"/>
                <w:lang w:eastAsia="es-ES_tradnl"/>
              </w:rPr>
              <w:t>$20.612.498</w:t>
            </w:r>
          </w:p>
        </w:tc>
      </w:tr>
    </w:tbl>
    <w:p w14:paraId="34F98A37" w14:textId="77777777" w:rsidR="00E41D82" w:rsidRDefault="00E41D82" w:rsidP="00E41D82">
      <w:pPr>
        <w:spacing w:after="0" w:line="360" w:lineRule="auto"/>
        <w:jc w:val="both"/>
        <w:rPr>
          <w:rFonts w:ascii="Cambria" w:hAnsi="Cambria" w:cstheme="minorHAnsi"/>
          <w:sz w:val="24"/>
          <w:szCs w:val="24"/>
        </w:rPr>
      </w:pPr>
    </w:p>
    <w:p w14:paraId="47B34EA1" w14:textId="77777777" w:rsidR="00404D98" w:rsidRDefault="00404D98" w:rsidP="00E41D82">
      <w:pPr>
        <w:spacing w:after="0" w:line="360" w:lineRule="auto"/>
        <w:jc w:val="both"/>
        <w:rPr>
          <w:rFonts w:ascii="Cambria" w:hAnsi="Cambria" w:cstheme="minorHAnsi"/>
          <w:sz w:val="24"/>
          <w:szCs w:val="24"/>
        </w:rPr>
      </w:pPr>
    </w:p>
    <w:p w14:paraId="7ACA8DEA" w14:textId="4C5E6B37" w:rsidR="00404D98" w:rsidRPr="00187E84" w:rsidRDefault="00404D98" w:rsidP="00404D98">
      <w:pPr>
        <w:pStyle w:val="Descripcin"/>
        <w:keepNext/>
        <w:spacing w:after="0" w:line="360" w:lineRule="auto"/>
        <w:jc w:val="center"/>
        <w:rPr>
          <w:rFonts w:ascii="Cambria" w:hAnsi="Cambria" w:cstheme="minorHAnsi"/>
          <w:b/>
          <w:color w:val="auto"/>
          <w:sz w:val="24"/>
          <w:szCs w:val="24"/>
        </w:rPr>
      </w:pPr>
      <w:r w:rsidRPr="00187E84">
        <w:rPr>
          <w:rFonts w:ascii="Cambria" w:hAnsi="Cambria" w:cstheme="minorHAnsi"/>
          <w:b/>
          <w:color w:val="auto"/>
          <w:sz w:val="24"/>
          <w:szCs w:val="24"/>
        </w:rPr>
        <w:t xml:space="preserve">Tabla </w:t>
      </w:r>
      <w:r>
        <w:rPr>
          <w:rFonts w:ascii="Cambria" w:hAnsi="Cambria" w:cstheme="minorHAnsi"/>
          <w:b/>
          <w:color w:val="auto"/>
          <w:sz w:val="24"/>
          <w:szCs w:val="24"/>
        </w:rPr>
        <w:t>3</w:t>
      </w:r>
      <w:r w:rsidRPr="00187E84">
        <w:rPr>
          <w:rFonts w:ascii="Cambria" w:hAnsi="Cambria" w:cstheme="minorHAnsi"/>
          <w:b/>
          <w:color w:val="auto"/>
          <w:sz w:val="24"/>
          <w:szCs w:val="24"/>
        </w:rPr>
        <w:t xml:space="preserve">: </w:t>
      </w:r>
      <w:r>
        <w:rPr>
          <w:rFonts w:ascii="Cambria" w:hAnsi="Cambria" w:cstheme="minorHAnsi"/>
          <w:b/>
          <w:color w:val="auto"/>
          <w:sz w:val="24"/>
          <w:szCs w:val="24"/>
        </w:rPr>
        <w:t>Total d</w:t>
      </w:r>
      <w:r w:rsidRPr="00187E84">
        <w:rPr>
          <w:rFonts w:ascii="Cambria" w:hAnsi="Cambria" w:cstheme="minorHAnsi"/>
          <w:b/>
          <w:color w:val="auto"/>
          <w:sz w:val="24"/>
          <w:szCs w:val="24"/>
        </w:rPr>
        <w:t>isminuciones de fondos basales permanentes para las Universidades CRUCH</w:t>
      </w:r>
    </w:p>
    <w:tbl>
      <w:tblPr>
        <w:tblW w:w="7692" w:type="dxa"/>
        <w:jc w:val="center"/>
        <w:tblCellMar>
          <w:left w:w="70" w:type="dxa"/>
          <w:right w:w="70" w:type="dxa"/>
        </w:tblCellMar>
        <w:tblLook w:val="04A0" w:firstRow="1" w:lastRow="0" w:firstColumn="1" w:lastColumn="0" w:noHBand="0" w:noVBand="1"/>
      </w:tblPr>
      <w:tblGrid>
        <w:gridCol w:w="4385"/>
        <w:gridCol w:w="3307"/>
      </w:tblGrid>
      <w:tr w:rsidR="00C20B66" w:rsidRPr="00187E84" w14:paraId="51E36FB2" w14:textId="77777777" w:rsidTr="00404D98">
        <w:trPr>
          <w:trHeight w:val="259"/>
          <w:jc w:val="center"/>
        </w:trPr>
        <w:tc>
          <w:tcPr>
            <w:tcW w:w="4385" w:type="dxa"/>
            <w:tcBorders>
              <w:top w:val="double" w:sz="4" w:space="0" w:color="A5A5A5" w:themeColor="accent3"/>
              <w:left w:val="single" w:sz="8" w:space="0" w:color="999999"/>
              <w:bottom w:val="single" w:sz="8" w:space="0" w:color="999999"/>
              <w:right w:val="single" w:sz="8" w:space="0" w:color="999999"/>
            </w:tcBorders>
            <w:shd w:val="clear" w:color="auto" w:fill="auto"/>
            <w:noWrap/>
            <w:vAlign w:val="center"/>
            <w:hideMark/>
          </w:tcPr>
          <w:p w14:paraId="3311F752" w14:textId="1EE97D1F" w:rsidR="00C20B66" w:rsidRPr="00404D98" w:rsidRDefault="00C20B66" w:rsidP="00404D98">
            <w:pPr>
              <w:spacing w:after="0" w:line="360" w:lineRule="auto"/>
              <w:rPr>
                <w:rFonts w:ascii="Cambria" w:eastAsia="Times New Roman" w:hAnsi="Cambria" w:cstheme="minorHAnsi"/>
                <w:sz w:val="24"/>
                <w:szCs w:val="24"/>
                <w:lang w:eastAsia="es-ES_tradnl"/>
              </w:rPr>
            </w:pPr>
            <w:r w:rsidRPr="00404D98">
              <w:rPr>
                <w:rFonts w:ascii="Cambria" w:eastAsia="Times New Roman" w:hAnsi="Cambria" w:cstheme="minorHAnsi"/>
                <w:sz w:val="24"/>
                <w:szCs w:val="24"/>
                <w:lang w:eastAsia="es-ES_tradnl"/>
              </w:rPr>
              <w:t xml:space="preserve">Total </w:t>
            </w:r>
            <w:r w:rsidR="00404D98" w:rsidRPr="00404D98">
              <w:rPr>
                <w:rFonts w:ascii="Cambria" w:eastAsia="Times New Roman" w:hAnsi="Cambria" w:cstheme="minorHAnsi"/>
                <w:sz w:val="24"/>
                <w:szCs w:val="24"/>
                <w:lang w:eastAsia="es-ES_tradnl"/>
              </w:rPr>
              <w:t>Disminuciones de fondos basales permanentes para las Universidades Estatales</w:t>
            </w:r>
          </w:p>
        </w:tc>
        <w:tc>
          <w:tcPr>
            <w:tcW w:w="3307" w:type="dxa"/>
            <w:tcBorders>
              <w:top w:val="double" w:sz="4" w:space="0" w:color="A5A5A5" w:themeColor="accent3"/>
              <w:left w:val="nil"/>
              <w:bottom w:val="single" w:sz="8" w:space="0" w:color="999999"/>
              <w:right w:val="single" w:sz="8" w:space="0" w:color="999999"/>
            </w:tcBorders>
            <w:shd w:val="clear" w:color="auto" w:fill="auto"/>
            <w:noWrap/>
            <w:vAlign w:val="center"/>
            <w:hideMark/>
          </w:tcPr>
          <w:p w14:paraId="5349D0FE" w14:textId="77777777" w:rsidR="00C20B66" w:rsidRPr="00187E84" w:rsidRDefault="00C20B66" w:rsidP="00404D98">
            <w:pPr>
              <w:spacing w:after="0" w:line="360" w:lineRule="auto"/>
              <w:jc w:val="right"/>
              <w:rPr>
                <w:rFonts w:ascii="Cambria" w:eastAsia="Times New Roman" w:hAnsi="Cambria" w:cstheme="minorHAnsi"/>
                <w:b/>
                <w:bCs/>
                <w:sz w:val="24"/>
                <w:szCs w:val="24"/>
                <w:lang w:eastAsia="es-ES_tradnl"/>
              </w:rPr>
            </w:pPr>
            <w:r w:rsidRPr="00187E84">
              <w:rPr>
                <w:rFonts w:ascii="Cambria" w:eastAsia="Times New Roman" w:hAnsi="Cambria" w:cstheme="minorHAnsi"/>
                <w:b/>
                <w:bCs/>
                <w:sz w:val="24"/>
                <w:szCs w:val="24"/>
                <w:lang w:eastAsia="es-ES_tradnl"/>
              </w:rPr>
              <w:t>$21.700.199</w:t>
            </w:r>
          </w:p>
        </w:tc>
      </w:tr>
      <w:tr w:rsidR="00C20B66" w:rsidRPr="00187E84" w14:paraId="370E2FAF" w14:textId="77777777" w:rsidTr="00404D98">
        <w:trPr>
          <w:trHeight w:val="259"/>
          <w:jc w:val="center"/>
        </w:trPr>
        <w:tc>
          <w:tcPr>
            <w:tcW w:w="4385" w:type="dxa"/>
            <w:tcBorders>
              <w:top w:val="double" w:sz="4" w:space="0" w:color="A5A5A5" w:themeColor="accent3"/>
              <w:left w:val="single" w:sz="8" w:space="0" w:color="999999"/>
              <w:bottom w:val="double" w:sz="4" w:space="0" w:color="A5A5A5" w:themeColor="accent3"/>
              <w:right w:val="single" w:sz="8" w:space="0" w:color="999999"/>
            </w:tcBorders>
            <w:shd w:val="clear" w:color="auto" w:fill="auto"/>
            <w:noWrap/>
            <w:vAlign w:val="center"/>
            <w:hideMark/>
          </w:tcPr>
          <w:p w14:paraId="71F7BB15" w14:textId="7204A913" w:rsidR="00C20B66" w:rsidRPr="00404D98" w:rsidRDefault="00C20B66" w:rsidP="00404D98">
            <w:pPr>
              <w:spacing w:after="0" w:line="360" w:lineRule="auto"/>
              <w:rPr>
                <w:rFonts w:ascii="Cambria" w:eastAsia="Times New Roman" w:hAnsi="Cambria" w:cstheme="minorHAnsi"/>
                <w:sz w:val="24"/>
                <w:szCs w:val="24"/>
                <w:lang w:eastAsia="es-ES_tradnl"/>
              </w:rPr>
            </w:pPr>
            <w:r w:rsidRPr="00404D98">
              <w:rPr>
                <w:rFonts w:ascii="Cambria" w:eastAsia="Times New Roman" w:hAnsi="Cambria" w:cstheme="minorHAnsi"/>
                <w:sz w:val="24"/>
                <w:szCs w:val="24"/>
                <w:lang w:eastAsia="es-ES_tradnl"/>
              </w:rPr>
              <w:t>Total</w:t>
            </w:r>
            <w:r w:rsidR="00404D98" w:rsidRPr="00404D98">
              <w:rPr>
                <w:rFonts w:ascii="Cambria" w:eastAsia="Times New Roman" w:hAnsi="Cambria" w:cstheme="minorHAnsi"/>
                <w:sz w:val="24"/>
                <w:szCs w:val="24"/>
                <w:lang w:eastAsia="es-ES_tradnl"/>
              </w:rPr>
              <w:t xml:space="preserve"> Disminuciones de fondos basales permanentes para las Universidades Públicas No Estatales CRUCH</w:t>
            </w:r>
          </w:p>
        </w:tc>
        <w:tc>
          <w:tcPr>
            <w:tcW w:w="3307" w:type="dxa"/>
            <w:tcBorders>
              <w:top w:val="double" w:sz="4" w:space="0" w:color="A5A5A5" w:themeColor="accent3"/>
              <w:left w:val="nil"/>
              <w:bottom w:val="double" w:sz="4" w:space="0" w:color="A5A5A5" w:themeColor="accent3"/>
              <w:right w:val="single" w:sz="8" w:space="0" w:color="999999"/>
            </w:tcBorders>
            <w:shd w:val="clear" w:color="auto" w:fill="auto"/>
            <w:noWrap/>
            <w:vAlign w:val="center"/>
            <w:hideMark/>
          </w:tcPr>
          <w:p w14:paraId="47D0F9DB" w14:textId="77777777" w:rsidR="00C20B66" w:rsidRPr="00187E84" w:rsidRDefault="00C20B66" w:rsidP="00404D98">
            <w:pPr>
              <w:spacing w:after="0" w:line="360" w:lineRule="auto"/>
              <w:jc w:val="right"/>
              <w:rPr>
                <w:rFonts w:ascii="Cambria" w:eastAsia="Times New Roman" w:hAnsi="Cambria" w:cstheme="minorHAnsi"/>
                <w:b/>
                <w:bCs/>
                <w:sz w:val="24"/>
                <w:szCs w:val="24"/>
                <w:lang w:eastAsia="es-ES_tradnl"/>
              </w:rPr>
            </w:pPr>
            <w:r w:rsidRPr="00187E84">
              <w:rPr>
                <w:rFonts w:ascii="Cambria" w:eastAsia="Times New Roman" w:hAnsi="Cambria" w:cstheme="minorHAnsi"/>
                <w:b/>
                <w:bCs/>
                <w:sz w:val="24"/>
                <w:szCs w:val="24"/>
                <w:lang w:eastAsia="es-ES_tradnl"/>
              </w:rPr>
              <w:t>$20.612.498</w:t>
            </w:r>
          </w:p>
        </w:tc>
      </w:tr>
      <w:tr w:rsidR="00C20B66" w:rsidRPr="00187E84" w14:paraId="6BE57A60" w14:textId="77777777" w:rsidTr="00404D98">
        <w:trPr>
          <w:trHeight w:val="259"/>
          <w:jc w:val="center"/>
        </w:trPr>
        <w:tc>
          <w:tcPr>
            <w:tcW w:w="4385" w:type="dxa"/>
            <w:tcBorders>
              <w:top w:val="double" w:sz="4" w:space="0" w:color="A5A5A5" w:themeColor="accent3"/>
              <w:left w:val="single" w:sz="8" w:space="0" w:color="999999"/>
              <w:bottom w:val="single" w:sz="8" w:space="0" w:color="999999"/>
              <w:right w:val="single" w:sz="8" w:space="0" w:color="999999"/>
            </w:tcBorders>
            <w:shd w:val="clear" w:color="auto" w:fill="auto"/>
            <w:noWrap/>
            <w:vAlign w:val="center"/>
          </w:tcPr>
          <w:p w14:paraId="4A628C6E" w14:textId="7E71E254" w:rsidR="00C20B66" w:rsidRPr="00187E84" w:rsidRDefault="00404D98" w:rsidP="00E2463E">
            <w:pPr>
              <w:spacing w:after="0" w:line="360" w:lineRule="auto"/>
              <w:jc w:val="both"/>
              <w:rPr>
                <w:rFonts w:ascii="Cambria" w:eastAsia="Times New Roman" w:hAnsi="Cambria" w:cstheme="minorHAnsi"/>
                <w:b/>
                <w:bCs/>
                <w:sz w:val="24"/>
                <w:szCs w:val="24"/>
                <w:lang w:eastAsia="es-ES_tradnl"/>
              </w:rPr>
            </w:pPr>
            <w:r>
              <w:rPr>
                <w:rFonts w:ascii="Cambria" w:eastAsia="Times New Roman" w:hAnsi="Cambria" w:cstheme="minorHAnsi"/>
                <w:b/>
                <w:bCs/>
                <w:sz w:val="24"/>
                <w:szCs w:val="24"/>
                <w:lang w:eastAsia="es-ES_tradnl"/>
              </w:rPr>
              <w:t>Total CRUCH</w:t>
            </w:r>
          </w:p>
        </w:tc>
        <w:tc>
          <w:tcPr>
            <w:tcW w:w="3307" w:type="dxa"/>
            <w:tcBorders>
              <w:top w:val="double" w:sz="4" w:space="0" w:color="A5A5A5" w:themeColor="accent3"/>
              <w:left w:val="nil"/>
              <w:bottom w:val="single" w:sz="8" w:space="0" w:color="999999"/>
              <w:right w:val="single" w:sz="8" w:space="0" w:color="999999"/>
            </w:tcBorders>
            <w:shd w:val="clear" w:color="auto" w:fill="auto"/>
            <w:noWrap/>
            <w:vAlign w:val="center"/>
          </w:tcPr>
          <w:p w14:paraId="41B22FED" w14:textId="60401321" w:rsidR="00C20B66" w:rsidRPr="00187E84" w:rsidRDefault="00C20B66" w:rsidP="00404D98">
            <w:pPr>
              <w:spacing w:after="0" w:line="360" w:lineRule="auto"/>
              <w:jc w:val="right"/>
              <w:rPr>
                <w:rFonts w:ascii="Cambria" w:eastAsia="Times New Roman" w:hAnsi="Cambria" w:cstheme="minorHAnsi"/>
                <w:b/>
                <w:bCs/>
                <w:sz w:val="24"/>
                <w:szCs w:val="24"/>
                <w:lang w:eastAsia="es-ES_tradnl"/>
              </w:rPr>
            </w:pPr>
            <w:r>
              <w:rPr>
                <w:rFonts w:ascii="Cambria" w:eastAsia="Times New Roman" w:hAnsi="Cambria" w:cstheme="minorHAnsi"/>
                <w:b/>
                <w:bCs/>
                <w:sz w:val="24"/>
                <w:szCs w:val="24"/>
                <w:lang w:eastAsia="es-ES_tradnl"/>
              </w:rPr>
              <w:t>$42.312.697</w:t>
            </w:r>
          </w:p>
        </w:tc>
      </w:tr>
    </w:tbl>
    <w:p w14:paraId="644F5E56" w14:textId="77777777" w:rsidR="00C20B66" w:rsidRPr="00187E84" w:rsidRDefault="00C20B66" w:rsidP="00E41D82">
      <w:pPr>
        <w:spacing w:after="0" w:line="360" w:lineRule="auto"/>
        <w:jc w:val="both"/>
        <w:rPr>
          <w:rFonts w:ascii="Cambria" w:hAnsi="Cambria" w:cstheme="minorHAnsi"/>
          <w:sz w:val="24"/>
          <w:szCs w:val="24"/>
        </w:rPr>
      </w:pPr>
    </w:p>
    <w:p w14:paraId="0D43F690" w14:textId="351C4907" w:rsidR="003F7812" w:rsidRPr="00187E84" w:rsidRDefault="003F7812" w:rsidP="00E41D82">
      <w:pPr>
        <w:pStyle w:val="Ttulo1"/>
        <w:numPr>
          <w:ilvl w:val="0"/>
          <w:numId w:val="21"/>
        </w:numPr>
        <w:spacing w:before="0" w:after="0" w:line="360" w:lineRule="auto"/>
        <w:jc w:val="both"/>
        <w:rPr>
          <w:rFonts w:ascii="Cambria" w:hAnsi="Cambria"/>
          <w:sz w:val="24"/>
          <w:szCs w:val="24"/>
        </w:rPr>
      </w:pPr>
      <w:r w:rsidRPr="00187E84">
        <w:rPr>
          <w:rFonts w:ascii="Cambria" w:hAnsi="Cambria"/>
          <w:sz w:val="24"/>
          <w:szCs w:val="24"/>
        </w:rPr>
        <w:lastRenderedPageBreak/>
        <w:t xml:space="preserve">Acerca de </w:t>
      </w:r>
      <w:r w:rsidR="00030987" w:rsidRPr="00187E84">
        <w:rPr>
          <w:rFonts w:ascii="Cambria" w:hAnsi="Cambria"/>
          <w:sz w:val="24"/>
          <w:szCs w:val="24"/>
        </w:rPr>
        <w:t xml:space="preserve">la </w:t>
      </w:r>
      <w:r w:rsidRPr="00187E84">
        <w:rPr>
          <w:rFonts w:ascii="Cambria" w:hAnsi="Cambria"/>
          <w:sz w:val="24"/>
          <w:szCs w:val="24"/>
        </w:rPr>
        <w:t>Transparencia y Rendición de Cuentas</w:t>
      </w:r>
    </w:p>
    <w:p w14:paraId="145B79D2" w14:textId="77777777" w:rsidR="00030987" w:rsidRPr="00187E84" w:rsidRDefault="00030987" w:rsidP="00030987"/>
    <w:p w14:paraId="0356A8CA" w14:textId="1D0832F7" w:rsidR="003F7812" w:rsidRPr="00187E84" w:rsidRDefault="00030987" w:rsidP="00E41D82">
      <w:pPr>
        <w:spacing w:after="0" w:line="360" w:lineRule="auto"/>
        <w:jc w:val="both"/>
        <w:rPr>
          <w:rFonts w:ascii="Cambria" w:hAnsi="Cambria" w:cstheme="minorHAnsi"/>
          <w:sz w:val="24"/>
          <w:szCs w:val="24"/>
        </w:rPr>
      </w:pPr>
      <w:r w:rsidRPr="00187E84">
        <w:rPr>
          <w:rFonts w:ascii="Cambria" w:hAnsi="Cambria" w:cstheme="minorHAnsi"/>
          <w:sz w:val="24"/>
          <w:szCs w:val="24"/>
        </w:rPr>
        <w:t>L</w:t>
      </w:r>
      <w:r w:rsidR="003F7812" w:rsidRPr="00187E84">
        <w:rPr>
          <w:rFonts w:ascii="Cambria" w:hAnsi="Cambria" w:cstheme="minorHAnsi"/>
          <w:sz w:val="24"/>
          <w:szCs w:val="24"/>
        </w:rPr>
        <w:t>as autoridades de Hacienda han sido insistentes en asevera</w:t>
      </w:r>
      <w:r w:rsidRPr="00187E84">
        <w:rPr>
          <w:rFonts w:ascii="Cambria" w:hAnsi="Cambria" w:cstheme="minorHAnsi"/>
          <w:sz w:val="24"/>
          <w:szCs w:val="24"/>
        </w:rPr>
        <w:t>r</w:t>
      </w:r>
      <w:r w:rsidR="003F7812" w:rsidRPr="00187E84">
        <w:rPr>
          <w:rFonts w:ascii="Cambria" w:hAnsi="Cambria" w:cstheme="minorHAnsi"/>
          <w:sz w:val="24"/>
          <w:szCs w:val="24"/>
        </w:rPr>
        <w:t xml:space="preserve"> una supuesta falta transparencia y rendición de cuentas de nuestras universidades, afirmaciones que no solo no son efectivas, sino que reflejan un profundo desconocimiento acerca de los mecanismos a través de los cuales las universidades dan cuenta de manera periódica y transparente de su accionar académico, administrativo y financiero.</w:t>
      </w:r>
    </w:p>
    <w:p w14:paraId="2E9602E2" w14:textId="5924E711" w:rsidR="003F7812" w:rsidRPr="00187E84" w:rsidRDefault="00030987" w:rsidP="00E41D82">
      <w:pPr>
        <w:spacing w:after="0" w:line="360" w:lineRule="auto"/>
        <w:jc w:val="both"/>
        <w:rPr>
          <w:rFonts w:ascii="Cambria" w:hAnsi="Cambria" w:cstheme="minorHAnsi"/>
          <w:sz w:val="24"/>
          <w:szCs w:val="24"/>
        </w:rPr>
      </w:pPr>
      <w:r w:rsidRPr="00187E84">
        <w:rPr>
          <w:rFonts w:ascii="Cambria" w:hAnsi="Cambria" w:cstheme="minorHAnsi"/>
          <w:sz w:val="24"/>
          <w:szCs w:val="24"/>
        </w:rPr>
        <w:t>En primer lugar, l</w:t>
      </w:r>
      <w:r w:rsidR="003F7812" w:rsidRPr="00187E84">
        <w:rPr>
          <w:rFonts w:ascii="Cambria" w:hAnsi="Cambria" w:cstheme="minorHAnsi"/>
          <w:sz w:val="24"/>
          <w:szCs w:val="24"/>
        </w:rPr>
        <w:t>as universidades estatales son las instituciones con mayor regulación del sistema de educación superior, al ser parte de las entidades que conforman el sistema de la Administración Pública de Chile. Además de los controles aplicables a todas las I</w:t>
      </w:r>
      <w:r w:rsidRPr="00187E84">
        <w:rPr>
          <w:rFonts w:ascii="Cambria" w:hAnsi="Cambria" w:cstheme="minorHAnsi"/>
          <w:sz w:val="24"/>
          <w:szCs w:val="24"/>
        </w:rPr>
        <w:t xml:space="preserve">nstituciones de Educación Superior (IES) </w:t>
      </w:r>
      <w:r w:rsidR="003F7812" w:rsidRPr="00187E84">
        <w:rPr>
          <w:rFonts w:ascii="Cambria" w:hAnsi="Cambria" w:cstheme="minorHAnsi"/>
          <w:sz w:val="24"/>
          <w:szCs w:val="24"/>
        </w:rPr>
        <w:t>a través del Min</w:t>
      </w:r>
      <w:r w:rsidRPr="00187E84">
        <w:rPr>
          <w:rFonts w:ascii="Cambria" w:hAnsi="Cambria" w:cstheme="minorHAnsi"/>
          <w:sz w:val="24"/>
          <w:szCs w:val="24"/>
        </w:rPr>
        <w:t>isterio de Educación (Min</w:t>
      </w:r>
      <w:r w:rsidR="003F7812" w:rsidRPr="00187E84">
        <w:rPr>
          <w:rFonts w:ascii="Cambria" w:hAnsi="Cambria" w:cstheme="minorHAnsi"/>
          <w:sz w:val="24"/>
          <w:szCs w:val="24"/>
        </w:rPr>
        <w:t>educ</w:t>
      </w:r>
      <w:r w:rsidRPr="00187E84">
        <w:rPr>
          <w:rFonts w:ascii="Cambria" w:hAnsi="Cambria" w:cstheme="minorHAnsi"/>
          <w:sz w:val="24"/>
          <w:szCs w:val="24"/>
        </w:rPr>
        <w:t>)</w:t>
      </w:r>
      <w:r w:rsidR="003F7812" w:rsidRPr="00187E84">
        <w:rPr>
          <w:rFonts w:ascii="Cambria" w:hAnsi="Cambria" w:cstheme="minorHAnsi"/>
          <w:sz w:val="24"/>
          <w:szCs w:val="24"/>
        </w:rPr>
        <w:t xml:space="preserve">, a estas universidades </w:t>
      </w:r>
      <w:r w:rsidRPr="00187E84">
        <w:rPr>
          <w:rFonts w:ascii="Cambria" w:hAnsi="Cambria" w:cstheme="minorHAnsi"/>
          <w:sz w:val="24"/>
          <w:szCs w:val="24"/>
        </w:rPr>
        <w:t xml:space="preserve">se </w:t>
      </w:r>
      <w:r w:rsidR="003F7812" w:rsidRPr="00187E84">
        <w:rPr>
          <w:rFonts w:ascii="Cambria" w:hAnsi="Cambria" w:cstheme="minorHAnsi"/>
          <w:sz w:val="24"/>
          <w:szCs w:val="24"/>
        </w:rPr>
        <w:t>les aplica toda la normativa pública vigente y el control permanente de la Contraloría General de la República (CGR), que además realiza un programa anual de auditorías temáticas y auditorías no planificadas a las 18 universidades estatales.</w:t>
      </w:r>
    </w:p>
    <w:p w14:paraId="4BF9661A" w14:textId="5AE78E15" w:rsidR="003F7812" w:rsidRPr="00187E84" w:rsidRDefault="003F7812" w:rsidP="00E41D82">
      <w:pPr>
        <w:spacing w:after="0" w:line="360" w:lineRule="auto"/>
        <w:jc w:val="both"/>
        <w:rPr>
          <w:rFonts w:ascii="Cambria" w:hAnsi="Cambria" w:cstheme="minorHAnsi"/>
          <w:sz w:val="24"/>
          <w:szCs w:val="24"/>
        </w:rPr>
      </w:pPr>
      <w:r w:rsidRPr="00187E84">
        <w:rPr>
          <w:rFonts w:ascii="Cambria" w:hAnsi="Cambria" w:cstheme="minorHAnsi"/>
          <w:sz w:val="24"/>
          <w:szCs w:val="24"/>
        </w:rPr>
        <w:t xml:space="preserve">El </w:t>
      </w:r>
      <w:r w:rsidRPr="00DA0C59">
        <w:rPr>
          <w:rFonts w:ascii="Cambria" w:hAnsi="Cambria" w:cstheme="minorHAnsi"/>
          <w:sz w:val="24"/>
          <w:szCs w:val="24"/>
        </w:rPr>
        <w:t>control ex ante realizado</w:t>
      </w:r>
      <w:r w:rsidRPr="00187E84">
        <w:rPr>
          <w:rFonts w:ascii="Cambria" w:hAnsi="Cambria" w:cstheme="minorHAnsi"/>
          <w:sz w:val="24"/>
          <w:szCs w:val="24"/>
        </w:rPr>
        <w:t xml:space="preserve"> por la CGR exige que todos los actos que signifiquen hechos económicos relevantes en las universidades estatales pasen por autorización previa de este órgano de control, esto incluye sus inversiones, endeudamiento, compras y contratos, etc. </w:t>
      </w:r>
      <w:r w:rsidRPr="00DA0C59">
        <w:rPr>
          <w:rFonts w:ascii="Cambria" w:hAnsi="Cambria" w:cstheme="minorHAnsi"/>
          <w:sz w:val="24"/>
          <w:szCs w:val="24"/>
        </w:rPr>
        <w:t>Ad</w:t>
      </w:r>
      <w:r w:rsidR="00DA0C59">
        <w:rPr>
          <w:rFonts w:ascii="Cambria" w:hAnsi="Cambria" w:cstheme="minorHAnsi"/>
          <w:sz w:val="24"/>
          <w:szCs w:val="24"/>
        </w:rPr>
        <w:t>emás</w:t>
      </w:r>
      <w:r w:rsidR="00030987" w:rsidRPr="00DA0C59">
        <w:rPr>
          <w:rFonts w:ascii="Cambria" w:hAnsi="Cambria" w:cstheme="minorHAnsi"/>
          <w:sz w:val="24"/>
          <w:szCs w:val="24"/>
        </w:rPr>
        <w:t>,</w:t>
      </w:r>
      <w:r w:rsidRPr="00187E84">
        <w:rPr>
          <w:rFonts w:ascii="Cambria" w:hAnsi="Cambria" w:cstheme="minorHAnsi"/>
          <w:sz w:val="24"/>
          <w:szCs w:val="24"/>
        </w:rPr>
        <w:t xml:space="preserve"> la CGR dispone de un sistema que registra todas las contrataciones de personal de estas universidades, por lo cual dispone de una base de datos actualizada y detallada de todas las personas que tienen vínculos contractuales con las universidades estatales.</w:t>
      </w:r>
    </w:p>
    <w:p w14:paraId="39CED0A8" w14:textId="000A8486" w:rsidR="003F7812" w:rsidRPr="00DA0C59" w:rsidRDefault="00030987" w:rsidP="00E41D82">
      <w:pPr>
        <w:spacing w:after="0" w:line="360" w:lineRule="auto"/>
        <w:jc w:val="both"/>
        <w:rPr>
          <w:rFonts w:ascii="Cambria" w:hAnsi="Cambria" w:cstheme="minorHAnsi"/>
          <w:sz w:val="24"/>
          <w:szCs w:val="24"/>
        </w:rPr>
      </w:pPr>
      <w:r w:rsidRPr="00187E84">
        <w:rPr>
          <w:rFonts w:ascii="Cambria" w:hAnsi="Cambria" w:cstheme="minorHAnsi"/>
          <w:sz w:val="24"/>
          <w:szCs w:val="24"/>
        </w:rPr>
        <w:t>E</w:t>
      </w:r>
      <w:r w:rsidR="003F7812" w:rsidRPr="00187E84">
        <w:rPr>
          <w:rFonts w:ascii="Cambria" w:hAnsi="Cambria" w:cstheme="minorHAnsi"/>
          <w:sz w:val="24"/>
          <w:szCs w:val="24"/>
        </w:rPr>
        <w:t>n el ámbito financiero</w:t>
      </w:r>
      <w:r w:rsidRPr="00187E84">
        <w:rPr>
          <w:rFonts w:ascii="Cambria" w:hAnsi="Cambria" w:cstheme="minorHAnsi"/>
          <w:sz w:val="24"/>
          <w:szCs w:val="24"/>
        </w:rPr>
        <w:t>,</w:t>
      </w:r>
      <w:r w:rsidR="003F7812" w:rsidRPr="00187E84">
        <w:rPr>
          <w:rFonts w:ascii="Cambria" w:hAnsi="Cambria" w:cstheme="minorHAnsi"/>
          <w:sz w:val="24"/>
          <w:szCs w:val="24"/>
        </w:rPr>
        <w:t xml:space="preserve"> las universidades estatales deben entregar cada tres meses </w:t>
      </w:r>
      <w:r w:rsidRPr="00187E84">
        <w:rPr>
          <w:rFonts w:ascii="Cambria" w:hAnsi="Cambria" w:cstheme="minorHAnsi"/>
          <w:sz w:val="24"/>
          <w:szCs w:val="24"/>
        </w:rPr>
        <w:t xml:space="preserve">una </w:t>
      </w:r>
      <w:r w:rsidR="003F7812" w:rsidRPr="00187E84">
        <w:rPr>
          <w:rFonts w:ascii="Cambria" w:hAnsi="Cambria" w:cstheme="minorHAnsi"/>
          <w:sz w:val="24"/>
          <w:szCs w:val="24"/>
        </w:rPr>
        <w:t>cuenta detallada de su gestión financiera, contable y presupuestaria a la CGR, complementada además con informes de gestión. Semestralmente esta información se proporciona además al Min</w:t>
      </w:r>
      <w:r w:rsidR="0040599B">
        <w:rPr>
          <w:rFonts w:ascii="Cambria" w:hAnsi="Cambria" w:cstheme="minorHAnsi"/>
          <w:sz w:val="24"/>
          <w:szCs w:val="24"/>
        </w:rPr>
        <w:t xml:space="preserve">isterio de Educación </w:t>
      </w:r>
      <w:r w:rsidR="003F7812" w:rsidRPr="00187E84">
        <w:rPr>
          <w:rFonts w:ascii="Cambria" w:hAnsi="Cambria" w:cstheme="minorHAnsi"/>
          <w:sz w:val="24"/>
          <w:szCs w:val="24"/>
        </w:rPr>
        <w:t xml:space="preserve">y al Ministerio de Hacienda, en cumplimiento del Decreto 180, que regula el sistema presupuestario de las universidades que reciben </w:t>
      </w:r>
      <w:r w:rsidR="003F7812" w:rsidRPr="00DA0C59">
        <w:rPr>
          <w:rFonts w:ascii="Cambria" w:hAnsi="Cambria" w:cstheme="minorHAnsi"/>
          <w:sz w:val="24"/>
          <w:szCs w:val="24"/>
        </w:rPr>
        <w:t>A</w:t>
      </w:r>
      <w:r w:rsidR="00DA0C59" w:rsidRPr="00DA0C59">
        <w:rPr>
          <w:rFonts w:ascii="Cambria" w:hAnsi="Cambria" w:cstheme="minorHAnsi"/>
          <w:sz w:val="24"/>
          <w:szCs w:val="24"/>
        </w:rPr>
        <w:t xml:space="preserve">porte </w:t>
      </w:r>
      <w:r w:rsidR="003F7812" w:rsidRPr="00DA0C59">
        <w:rPr>
          <w:rFonts w:ascii="Cambria" w:hAnsi="Cambria" w:cstheme="minorHAnsi"/>
          <w:sz w:val="24"/>
          <w:szCs w:val="24"/>
        </w:rPr>
        <w:t>F</w:t>
      </w:r>
      <w:r w:rsidR="00DA0C59" w:rsidRPr="00DA0C59">
        <w:rPr>
          <w:rFonts w:ascii="Cambria" w:hAnsi="Cambria" w:cstheme="minorHAnsi"/>
          <w:sz w:val="24"/>
          <w:szCs w:val="24"/>
        </w:rPr>
        <w:t xml:space="preserve">iscal </w:t>
      </w:r>
      <w:r w:rsidR="003F7812" w:rsidRPr="00DA0C59">
        <w:rPr>
          <w:rFonts w:ascii="Cambria" w:hAnsi="Cambria" w:cstheme="minorHAnsi"/>
          <w:sz w:val="24"/>
          <w:szCs w:val="24"/>
        </w:rPr>
        <w:t>D</w:t>
      </w:r>
      <w:r w:rsidR="00DA0C59" w:rsidRPr="00DA0C59">
        <w:rPr>
          <w:rFonts w:ascii="Cambria" w:hAnsi="Cambria" w:cstheme="minorHAnsi"/>
          <w:sz w:val="24"/>
          <w:szCs w:val="24"/>
        </w:rPr>
        <w:t>irecto (AFD)</w:t>
      </w:r>
      <w:r w:rsidR="003F7812" w:rsidRPr="00DA0C59">
        <w:rPr>
          <w:rFonts w:ascii="Cambria" w:hAnsi="Cambria" w:cstheme="minorHAnsi"/>
          <w:sz w:val="24"/>
          <w:szCs w:val="24"/>
        </w:rPr>
        <w:t>.</w:t>
      </w:r>
    </w:p>
    <w:p w14:paraId="4E27955F" w14:textId="01FA8911" w:rsidR="003F7812" w:rsidRPr="00187E84" w:rsidRDefault="003F7812" w:rsidP="00E41D82">
      <w:pPr>
        <w:spacing w:after="0" w:line="360" w:lineRule="auto"/>
        <w:jc w:val="both"/>
        <w:rPr>
          <w:rFonts w:ascii="Cambria" w:hAnsi="Cambria" w:cstheme="minorHAnsi"/>
          <w:sz w:val="24"/>
          <w:szCs w:val="24"/>
        </w:rPr>
      </w:pPr>
      <w:r w:rsidRPr="00DA0C59">
        <w:rPr>
          <w:rFonts w:ascii="Cambria" w:hAnsi="Cambria" w:cstheme="minorHAnsi"/>
          <w:sz w:val="24"/>
          <w:szCs w:val="24"/>
        </w:rPr>
        <w:t>Adicionalmente, los estados financieros de las universidades estatales son auditados</w:t>
      </w:r>
      <w:r w:rsidRPr="00187E84">
        <w:rPr>
          <w:rFonts w:ascii="Cambria" w:hAnsi="Cambria" w:cstheme="minorHAnsi"/>
          <w:sz w:val="24"/>
          <w:szCs w:val="24"/>
        </w:rPr>
        <w:t xml:space="preserve"> anualmente</w:t>
      </w:r>
      <w:r w:rsidR="00C20B66">
        <w:rPr>
          <w:rFonts w:ascii="Cambria" w:hAnsi="Cambria" w:cstheme="minorHAnsi"/>
          <w:sz w:val="24"/>
          <w:szCs w:val="24"/>
        </w:rPr>
        <w:t xml:space="preserve"> por empresas auditoras externas registradas en la Comisión para el Mercado Financiero CMF bajo Normas IFRS</w:t>
      </w:r>
      <w:r w:rsidRPr="00187E84">
        <w:rPr>
          <w:rFonts w:ascii="Cambria" w:hAnsi="Cambria" w:cstheme="minorHAnsi"/>
          <w:sz w:val="24"/>
          <w:szCs w:val="24"/>
        </w:rPr>
        <w:t xml:space="preserve"> y forman parte de la profusa información financiera, contable y presupuestaria disponible en sus portales web en la modalidad de Transparencia Activa.</w:t>
      </w:r>
    </w:p>
    <w:p w14:paraId="5F9A3D45" w14:textId="73E6C0AE" w:rsidR="003F7812" w:rsidRPr="00187E84" w:rsidRDefault="00030987" w:rsidP="00E41D82">
      <w:pPr>
        <w:spacing w:after="0" w:line="360" w:lineRule="auto"/>
        <w:jc w:val="both"/>
        <w:rPr>
          <w:rFonts w:ascii="Cambria" w:hAnsi="Cambria" w:cstheme="minorHAnsi"/>
          <w:sz w:val="24"/>
          <w:szCs w:val="24"/>
        </w:rPr>
      </w:pPr>
      <w:r w:rsidRPr="00187E84">
        <w:rPr>
          <w:rFonts w:ascii="Cambria" w:hAnsi="Cambria" w:cstheme="minorHAnsi"/>
          <w:sz w:val="24"/>
          <w:szCs w:val="24"/>
        </w:rPr>
        <w:t>En tanto, l</w:t>
      </w:r>
      <w:r w:rsidR="003F7812" w:rsidRPr="00187E84">
        <w:rPr>
          <w:rFonts w:ascii="Cambria" w:hAnsi="Cambria" w:cstheme="minorHAnsi"/>
          <w:sz w:val="24"/>
          <w:szCs w:val="24"/>
        </w:rPr>
        <w:t xml:space="preserve">as </w:t>
      </w:r>
      <w:r w:rsidRPr="00187E84">
        <w:rPr>
          <w:rFonts w:ascii="Cambria" w:hAnsi="Cambria" w:cstheme="minorHAnsi"/>
          <w:sz w:val="24"/>
          <w:szCs w:val="24"/>
        </w:rPr>
        <w:t>U</w:t>
      </w:r>
      <w:r w:rsidR="003F7812" w:rsidRPr="00187E84">
        <w:rPr>
          <w:rFonts w:ascii="Cambria" w:hAnsi="Cambria" w:cstheme="minorHAnsi"/>
          <w:sz w:val="24"/>
          <w:szCs w:val="24"/>
        </w:rPr>
        <w:t xml:space="preserve">niversidades </w:t>
      </w:r>
      <w:r w:rsidRPr="00187E84">
        <w:rPr>
          <w:rFonts w:ascii="Cambria" w:hAnsi="Cambria" w:cstheme="minorHAnsi"/>
          <w:sz w:val="24"/>
          <w:szCs w:val="24"/>
        </w:rPr>
        <w:t>Públicas No Estatales del CRUCH, a</w:t>
      </w:r>
      <w:r w:rsidR="003F7812" w:rsidRPr="00187E84">
        <w:rPr>
          <w:rFonts w:ascii="Cambria" w:hAnsi="Cambria" w:cstheme="minorHAnsi"/>
          <w:sz w:val="24"/>
          <w:szCs w:val="24"/>
        </w:rPr>
        <w:t xml:space="preserve">grupadas en la red G9, respondiendo a su vocación, demuestran un historial permanente de transparencia de su gestión a través de la incorporación de diversas prácticas de </w:t>
      </w:r>
      <w:r w:rsidR="003F7812" w:rsidRPr="00187E84">
        <w:rPr>
          <w:rFonts w:ascii="Cambria" w:hAnsi="Cambria" w:cstheme="minorHAnsi"/>
          <w:i/>
          <w:sz w:val="24"/>
          <w:szCs w:val="24"/>
        </w:rPr>
        <w:t>accountability.</w:t>
      </w:r>
      <w:r w:rsidR="003F7812" w:rsidRPr="00187E84">
        <w:rPr>
          <w:rFonts w:ascii="Cambria" w:hAnsi="Cambria" w:cstheme="minorHAnsi"/>
          <w:sz w:val="24"/>
          <w:szCs w:val="24"/>
        </w:rPr>
        <w:t xml:space="preserve"> </w:t>
      </w:r>
    </w:p>
    <w:p w14:paraId="3B2D5F27" w14:textId="67D869FF" w:rsidR="003F7812" w:rsidRPr="00187E84" w:rsidRDefault="003F7812" w:rsidP="00E41D82">
      <w:pPr>
        <w:spacing w:after="0" w:line="360" w:lineRule="auto"/>
        <w:jc w:val="both"/>
        <w:rPr>
          <w:rFonts w:ascii="Cambria" w:hAnsi="Cambria" w:cstheme="minorHAnsi"/>
          <w:sz w:val="24"/>
          <w:szCs w:val="24"/>
        </w:rPr>
      </w:pPr>
      <w:r w:rsidRPr="00187E84">
        <w:rPr>
          <w:rFonts w:ascii="Cambria" w:hAnsi="Cambria" w:cstheme="minorHAnsi"/>
          <w:sz w:val="24"/>
          <w:szCs w:val="24"/>
        </w:rPr>
        <w:lastRenderedPageBreak/>
        <w:t xml:space="preserve">Por una parte, estas universidades deben dar cuenta de su actuación en asuntos de diversa índole a la Superintendencia de Educación Superior, entre ellos, los referidos a materias de gestión financiera, de </w:t>
      </w:r>
      <w:r w:rsidR="00030987" w:rsidRPr="00187E84">
        <w:rPr>
          <w:rFonts w:ascii="Cambria" w:hAnsi="Cambria" w:cstheme="minorHAnsi"/>
          <w:sz w:val="24"/>
          <w:szCs w:val="24"/>
        </w:rPr>
        <w:t>acuerdo a lo establecido en la L</w:t>
      </w:r>
      <w:r w:rsidRPr="00187E84">
        <w:rPr>
          <w:rFonts w:ascii="Cambria" w:hAnsi="Cambria" w:cstheme="minorHAnsi"/>
          <w:sz w:val="24"/>
          <w:szCs w:val="24"/>
        </w:rPr>
        <w:t>ey</w:t>
      </w:r>
      <w:r w:rsidR="00030987" w:rsidRPr="00187E84">
        <w:rPr>
          <w:rFonts w:ascii="Cambria" w:hAnsi="Cambria" w:cstheme="minorHAnsi"/>
          <w:sz w:val="24"/>
          <w:szCs w:val="24"/>
        </w:rPr>
        <w:t xml:space="preserve"> 21.091. Por otra parte, las u</w:t>
      </w:r>
      <w:r w:rsidRPr="00187E84">
        <w:rPr>
          <w:rFonts w:ascii="Cambria" w:hAnsi="Cambria" w:cstheme="minorHAnsi"/>
          <w:sz w:val="24"/>
          <w:szCs w:val="24"/>
        </w:rPr>
        <w:t xml:space="preserve">niversidades </w:t>
      </w:r>
      <w:r w:rsidR="00030987" w:rsidRPr="00187E84">
        <w:rPr>
          <w:rFonts w:ascii="Cambria" w:hAnsi="Cambria" w:cstheme="minorHAnsi"/>
          <w:sz w:val="24"/>
          <w:szCs w:val="24"/>
        </w:rPr>
        <w:t xml:space="preserve">del G-9 </w:t>
      </w:r>
      <w:r w:rsidRPr="00187E84">
        <w:rPr>
          <w:rFonts w:ascii="Cambria" w:hAnsi="Cambria" w:cstheme="minorHAnsi"/>
          <w:sz w:val="24"/>
          <w:szCs w:val="24"/>
        </w:rPr>
        <w:t xml:space="preserve">deben rendir todos los gastos asociados a fondos públicos, a través de la plataforma que dispone para tales efectos la Tesorería General de la República, siendo sujetos de auditorías periódicas para verificar el cumplimiento de las disposiciones de administración financiera del Estado respecto de los fondos públicos que perciben. Al mismo tiempo, </w:t>
      </w:r>
      <w:r w:rsidR="00030987" w:rsidRPr="00187E84">
        <w:rPr>
          <w:rFonts w:ascii="Cambria" w:hAnsi="Cambria" w:cstheme="minorHAnsi"/>
          <w:sz w:val="24"/>
          <w:szCs w:val="24"/>
        </w:rPr>
        <w:t>las Universidades Públicas No Estatales</w:t>
      </w:r>
      <w:r w:rsidRPr="00187E84">
        <w:rPr>
          <w:rFonts w:ascii="Cambria" w:hAnsi="Cambria" w:cstheme="minorHAnsi"/>
          <w:sz w:val="24"/>
          <w:szCs w:val="24"/>
        </w:rPr>
        <w:t xml:space="preserve">, han ido adoptando e implementando modelos de organización y gestión con la finalidad de prevenir, identificar, establecer procedimientos de denuncia y sanciones frente a la comisión de delitos que puedan comprometer la responsabilidad penal de las </w:t>
      </w:r>
      <w:r w:rsidR="00030987" w:rsidRPr="00187E84">
        <w:rPr>
          <w:rFonts w:ascii="Cambria" w:hAnsi="Cambria" w:cstheme="minorHAnsi"/>
          <w:sz w:val="24"/>
          <w:szCs w:val="24"/>
        </w:rPr>
        <w:t>u</w:t>
      </w:r>
      <w:r w:rsidRPr="00187E84">
        <w:rPr>
          <w:rFonts w:ascii="Cambria" w:hAnsi="Cambria" w:cstheme="minorHAnsi"/>
          <w:sz w:val="24"/>
          <w:szCs w:val="24"/>
        </w:rPr>
        <w:t>niversidades, en especial aquellas conductas tipificados en el artículo 27 de la ley Nº19.913, en el artículo 8° de la ley Nº18.314, en el artículo 14 de la ley 21.227 y en los artículos 250, 251 bis, 287 bis, 287 ter, 318 ter, 456 bis A y 470, numerales 1° y 11, del Código Penal.</w:t>
      </w:r>
    </w:p>
    <w:p w14:paraId="56A821E6" w14:textId="5D356460" w:rsidR="003F7812" w:rsidRPr="00187E84" w:rsidRDefault="003F7812" w:rsidP="00E41D82">
      <w:pPr>
        <w:spacing w:after="0" w:line="360" w:lineRule="auto"/>
        <w:jc w:val="both"/>
        <w:rPr>
          <w:rFonts w:ascii="Cambria" w:hAnsi="Cambria" w:cstheme="minorHAnsi"/>
          <w:sz w:val="24"/>
          <w:szCs w:val="24"/>
        </w:rPr>
      </w:pPr>
      <w:r w:rsidRPr="00187E84">
        <w:rPr>
          <w:rFonts w:ascii="Cambria" w:hAnsi="Cambria" w:cstheme="minorHAnsi"/>
          <w:sz w:val="24"/>
          <w:szCs w:val="24"/>
        </w:rPr>
        <w:t xml:space="preserve">Para una mejor comprensión del conjunto de normas que implican rendición de cuentas por parte de las universidades, </w:t>
      </w:r>
      <w:r w:rsidR="004C1B28" w:rsidRPr="00187E84">
        <w:rPr>
          <w:rFonts w:ascii="Cambria" w:hAnsi="Cambria" w:cstheme="minorHAnsi"/>
          <w:sz w:val="24"/>
          <w:szCs w:val="24"/>
        </w:rPr>
        <w:t xml:space="preserve">se </w:t>
      </w:r>
      <w:r w:rsidRPr="00187E84">
        <w:rPr>
          <w:rFonts w:ascii="Cambria" w:hAnsi="Cambria" w:cstheme="minorHAnsi"/>
          <w:sz w:val="24"/>
          <w:szCs w:val="24"/>
        </w:rPr>
        <w:t>sintetiza esta información</w:t>
      </w:r>
      <w:r w:rsidR="004C1B28" w:rsidRPr="00187E84">
        <w:rPr>
          <w:rFonts w:ascii="Cambria" w:hAnsi="Cambria" w:cstheme="minorHAnsi"/>
          <w:sz w:val="24"/>
          <w:szCs w:val="24"/>
        </w:rPr>
        <w:t xml:space="preserve"> en la siguiente tabla:</w:t>
      </w:r>
    </w:p>
    <w:p w14:paraId="0B296061" w14:textId="77777777" w:rsidR="003F7812" w:rsidRPr="00187E84" w:rsidRDefault="003F7812" w:rsidP="00E41D82">
      <w:pPr>
        <w:spacing w:after="0" w:line="360" w:lineRule="auto"/>
        <w:jc w:val="both"/>
        <w:rPr>
          <w:rFonts w:ascii="Cambria" w:hAnsi="Cambria" w:cstheme="minorHAnsi"/>
          <w:i/>
          <w:iCs/>
          <w:sz w:val="24"/>
          <w:szCs w:val="24"/>
        </w:rPr>
      </w:pPr>
    </w:p>
    <w:p w14:paraId="4D632B53" w14:textId="114DD579" w:rsidR="003F7812" w:rsidRPr="00187E84" w:rsidRDefault="003F7812" w:rsidP="004C1B28">
      <w:pPr>
        <w:spacing w:after="0" w:line="360" w:lineRule="auto"/>
        <w:jc w:val="center"/>
        <w:rPr>
          <w:rFonts w:ascii="Cambria" w:hAnsi="Cambria" w:cstheme="minorHAnsi"/>
          <w:b/>
          <w:i/>
          <w:iCs/>
          <w:sz w:val="24"/>
          <w:szCs w:val="24"/>
        </w:rPr>
      </w:pPr>
      <w:r w:rsidRPr="00187E84">
        <w:rPr>
          <w:rFonts w:ascii="Cambria" w:hAnsi="Cambria" w:cstheme="minorHAnsi"/>
          <w:b/>
          <w:i/>
          <w:iCs/>
          <w:sz w:val="24"/>
          <w:szCs w:val="24"/>
        </w:rPr>
        <w:t xml:space="preserve">Tabla </w:t>
      </w:r>
      <w:r w:rsidR="004C1B28" w:rsidRPr="00187E84">
        <w:rPr>
          <w:rFonts w:ascii="Cambria" w:hAnsi="Cambria" w:cstheme="minorHAnsi"/>
          <w:b/>
          <w:i/>
          <w:iCs/>
          <w:sz w:val="24"/>
          <w:szCs w:val="24"/>
        </w:rPr>
        <w:t>3:</w:t>
      </w:r>
      <w:r w:rsidRPr="00187E84">
        <w:rPr>
          <w:rFonts w:ascii="Cambria" w:hAnsi="Cambria" w:cstheme="minorHAnsi"/>
          <w:b/>
          <w:i/>
          <w:iCs/>
          <w:sz w:val="24"/>
          <w:szCs w:val="24"/>
        </w:rPr>
        <w:t xml:space="preserve"> Normas que imponen exigencias de información y rendición de cuentas</w:t>
      </w:r>
    </w:p>
    <w:tbl>
      <w:tblPr>
        <w:tblStyle w:val="Tablaconcuadrcula"/>
        <w:tblW w:w="9493" w:type="dxa"/>
        <w:tblLook w:val="04A0" w:firstRow="1" w:lastRow="0" w:firstColumn="1" w:lastColumn="0" w:noHBand="0" w:noVBand="1"/>
      </w:tblPr>
      <w:tblGrid>
        <w:gridCol w:w="858"/>
        <w:gridCol w:w="3961"/>
        <w:gridCol w:w="1557"/>
        <w:gridCol w:w="1967"/>
        <w:gridCol w:w="1150"/>
      </w:tblGrid>
      <w:tr w:rsidR="003F7812" w:rsidRPr="00187E84" w14:paraId="41B6E43C" w14:textId="77777777" w:rsidTr="00404D98">
        <w:trPr>
          <w:tblHeader/>
        </w:trPr>
        <w:tc>
          <w:tcPr>
            <w:tcW w:w="846" w:type="dxa"/>
            <w:shd w:val="clear" w:color="auto" w:fill="BDD6EE" w:themeFill="accent1" w:themeFillTint="66"/>
          </w:tcPr>
          <w:p w14:paraId="7081F0EE"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Orden</w:t>
            </w:r>
          </w:p>
        </w:tc>
        <w:tc>
          <w:tcPr>
            <w:tcW w:w="3969" w:type="dxa"/>
            <w:shd w:val="clear" w:color="auto" w:fill="BDD6EE" w:themeFill="accent1" w:themeFillTint="66"/>
          </w:tcPr>
          <w:p w14:paraId="4404DC3D"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Instrumento</w:t>
            </w:r>
          </w:p>
        </w:tc>
        <w:tc>
          <w:tcPr>
            <w:tcW w:w="1559" w:type="dxa"/>
            <w:shd w:val="clear" w:color="auto" w:fill="BDD6EE" w:themeFill="accent1" w:themeFillTint="66"/>
          </w:tcPr>
          <w:p w14:paraId="0981DAB8" w14:textId="72035021"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Ues. Estatal</w:t>
            </w:r>
            <w:r w:rsidR="004C1B28" w:rsidRPr="00187E84">
              <w:rPr>
                <w:rFonts w:ascii="Cambria" w:hAnsi="Cambria" w:cstheme="minorHAnsi"/>
                <w:sz w:val="24"/>
                <w:szCs w:val="24"/>
              </w:rPr>
              <w:t>es</w:t>
            </w:r>
          </w:p>
        </w:tc>
        <w:tc>
          <w:tcPr>
            <w:tcW w:w="1969" w:type="dxa"/>
            <w:shd w:val="clear" w:color="auto" w:fill="BDD6EE" w:themeFill="accent1" w:themeFillTint="66"/>
          </w:tcPr>
          <w:p w14:paraId="55B06E0E"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G - 9</w:t>
            </w:r>
          </w:p>
        </w:tc>
        <w:tc>
          <w:tcPr>
            <w:tcW w:w="1150" w:type="dxa"/>
            <w:shd w:val="clear" w:color="auto" w:fill="BDD6EE" w:themeFill="accent1" w:themeFillTint="66"/>
          </w:tcPr>
          <w:p w14:paraId="6C7AE52D"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Privadas</w:t>
            </w:r>
          </w:p>
        </w:tc>
      </w:tr>
      <w:tr w:rsidR="003F7812" w:rsidRPr="00187E84" w14:paraId="4A6BA7DC" w14:textId="77777777" w:rsidTr="004C1B28">
        <w:trPr>
          <w:trHeight w:val="2031"/>
        </w:trPr>
        <w:tc>
          <w:tcPr>
            <w:tcW w:w="846" w:type="dxa"/>
          </w:tcPr>
          <w:p w14:paraId="205EB96D"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1</w:t>
            </w:r>
          </w:p>
        </w:tc>
        <w:tc>
          <w:tcPr>
            <w:tcW w:w="3969" w:type="dxa"/>
          </w:tcPr>
          <w:p w14:paraId="2519C2BD" w14:textId="2E1D5610"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Decreto Supremo. N° 180/87. Regula el sistema presupuestario de las universidades que reciben AFD y establece informes de gestión semestrales.</w:t>
            </w:r>
          </w:p>
        </w:tc>
        <w:tc>
          <w:tcPr>
            <w:tcW w:w="1559" w:type="dxa"/>
            <w:shd w:val="clear" w:color="auto" w:fill="2E74B5" w:themeFill="accent1" w:themeFillShade="BF"/>
          </w:tcPr>
          <w:p w14:paraId="6850932A"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shd w:val="clear" w:color="auto" w:fill="2E74B5" w:themeFill="accent1" w:themeFillShade="BF"/>
          </w:tcPr>
          <w:p w14:paraId="762AAF89"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150" w:type="dxa"/>
          </w:tcPr>
          <w:p w14:paraId="5E9D0F95"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5F6C4ED3" w14:textId="77777777" w:rsidTr="008F40AE">
        <w:tc>
          <w:tcPr>
            <w:tcW w:w="846" w:type="dxa"/>
          </w:tcPr>
          <w:p w14:paraId="1F138FDF"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2</w:t>
            </w:r>
          </w:p>
        </w:tc>
        <w:tc>
          <w:tcPr>
            <w:tcW w:w="3969" w:type="dxa"/>
          </w:tcPr>
          <w:p w14:paraId="4C831588" w14:textId="367B7004"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Informes Trimestrales a la CGR (Estados Financieros, Ejecución presupuestaria, estados de flujo, balance 8 columnas, etc.)</w:t>
            </w:r>
            <w:r w:rsidR="004C1B28" w:rsidRPr="00187E84">
              <w:rPr>
                <w:rFonts w:ascii="Cambria" w:hAnsi="Cambria" w:cstheme="minorHAnsi"/>
                <w:sz w:val="24"/>
                <w:szCs w:val="24"/>
              </w:rPr>
              <w:t>.</w:t>
            </w:r>
          </w:p>
        </w:tc>
        <w:tc>
          <w:tcPr>
            <w:tcW w:w="1559" w:type="dxa"/>
            <w:shd w:val="clear" w:color="auto" w:fill="2E74B5" w:themeFill="accent1" w:themeFillShade="BF"/>
          </w:tcPr>
          <w:p w14:paraId="5BDDF319"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shd w:val="clear" w:color="auto" w:fill="FFFFFF" w:themeFill="background1"/>
          </w:tcPr>
          <w:p w14:paraId="6CC3E71D" w14:textId="6CF8BC46" w:rsidR="003F7812" w:rsidRPr="00187E84" w:rsidRDefault="008F40AE" w:rsidP="004C1B28">
            <w:pPr>
              <w:spacing w:after="0" w:line="360" w:lineRule="auto"/>
              <w:jc w:val="center"/>
              <w:rPr>
                <w:rFonts w:ascii="Cambria" w:hAnsi="Cambria" w:cstheme="minorHAnsi"/>
                <w:sz w:val="24"/>
                <w:szCs w:val="24"/>
              </w:rPr>
            </w:pPr>
            <w:r w:rsidRPr="008F40AE">
              <w:rPr>
                <w:rFonts w:ascii="Cambria" w:hAnsi="Cambria" w:cstheme="minorHAnsi"/>
                <w:sz w:val="24"/>
                <w:szCs w:val="24"/>
              </w:rPr>
              <w:t>NO, pero existe una práctica voluntaria de publicar sus EEFF anuales auditados</w:t>
            </w:r>
          </w:p>
        </w:tc>
        <w:tc>
          <w:tcPr>
            <w:tcW w:w="1150" w:type="dxa"/>
          </w:tcPr>
          <w:p w14:paraId="328625FE"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09EE9E0D" w14:textId="77777777" w:rsidTr="004C1B28">
        <w:trPr>
          <w:trHeight w:val="1051"/>
        </w:trPr>
        <w:tc>
          <w:tcPr>
            <w:tcW w:w="846" w:type="dxa"/>
          </w:tcPr>
          <w:p w14:paraId="5918CE6A"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3</w:t>
            </w:r>
          </w:p>
        </w:tc>
        <w:tc>
          <w:tcPr>
            <w:tcW w:w="3969" w:type="dxa"/>
          </w:tcPr>
          <w:p w14:paraId="327D49EA" w14:textId="6D2522F5"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Ley 21.091 que establece obligación de informar a la Superint</w:t>
            </w:r>
            <w:r w:rsidR="004C1B28" w:rsidRPr="00187E84">
              <w:rPr>
                <w:rFonts w:ascii="Cambria" w:hAnsi="Cambria" w:cstheme="minorHAnsi"/>
                <w:sz w:val="24"/>
                <w:szCs w:val="24"/>
              </w:rPr>
              <w:t>endencia de Educación Superior.</w:t>
            </w:r>
          </w:p>
        </w:tc>
        <w:tc>
          <w:tcPr>
            <w:tcW w:w="1559" w:type="dxa"/>
            <w:shd w:val="clear" w:color="auto" w:fill="2E74B5" w:themeFill="accent1" w:themeFillShade="BF"/>
          </w:tcPr>
          <w:p w14:paraId="0B8963DD"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shd w:val="clear" w:color="auto" w:fill="2E74B5" w:themeFill="accent1" w:themeFillShade="BF"/>
          </w:tcPr>
          <w:p w14:paraId="30C8BE32"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p w14:paraId="203564C0" w14:textId="77777777" w:rsidR="003F7812" w:rsidRPr="00187E84" w:rsidRDefault="003F7812" w:rsidP="004C1B28">
            <w:pPr>
              <w:spacing w:after="0" w:line="360" w:lineRule="auto"/>
              <w:jc w:val="center"/>
              <w:rPr>
                <w:rFonts w:ascii="Cambria" w:hAnsi="Cambria" w:cstheme="minorHAnsi"/>
                <w:sz w:val="24"/>
                <w:szCs w:val="24"/>
              </w:rPr>
            </w:pPr>
          </w:p>
          <w:p w14:paraId="72A252D1" w14:textId="77777777" w:rsidR="003F7812" w:rsidRPr="00187E84" w:rsidRDefault="003F7812" w:rsidP="004C1B28">
            <w:pPr>
              <w:spacing w:after="0" w:line="360" w:lineRule="auto"/>
              <w:jc w:val="center"/>
              <w:rPr>
                <w:rFonts w:ascii="Cambria" w:hAnsi="Cambria" w:cstheme="minorHAnsi"/>
                <w:sz w:val="24"/>
                <w:szCs w:val="24"/>
              </w:rPr>
            </w:pPr>
          </w:p>
        </w:tc>
        <w:tc>
          <w:tcPr>
            <w:tcW w:w="1150" w:type="dxa"/>
            <w:shd w:val="clear" w:color="auto" w:fill="2E74B5" w:themeFill="accent1" w:themeFillShade="BF"/>
          </w:tcPr>
          <w:p w14:paraId="58500BDE"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p w14:paraId="71C76806" w14:textId="77777777" w:rsidR="003F7812" w:rsidRPr="00187E84" w:rsidRDefault="003F7812" w:rsidP="004C1B28">
            <w:pPr>
              <w:spacing w:after="0" w:line="360" w:lineRule="auto"/>
              <w:jc w:val="center"/>
              <w:rPr>
                <w:rFonts w:ascii="Cambria" w:hAnsi="Cambria" w:cstheme="minorHAnsi"/>
                <w:sz w:val="24"/>
                <w:szCs w:val="24"/>
              </w:rPr>
            </w:pPr>
          </w:p>
        </w:tc>
      </w:tr>
      <w:tr w:rsidR="003F7812" w:rsidRPr="00187E84" w14:paraId="29BF9AD0" w14:textId="77777777" w:rsidTr="00FE0C69">
        <w:trPr>
          <w:trHeight w:val="1344"/>
        </w:trPr>
        <w:tc>
          <w:tcPr>
            <w:tcW w:w="846" w:type="dxa"/>
          </w:tcPr>
          <w:p w14:paraId="2232138B"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lastRenderedPageBreak/>
              <w:t>4</w:t>
            </w:r>
          </w:p>
        </w:tc>
        <w:tc>
          <w:tcPr>
            <w:tcW w:w="3969" w:type="dxa"/>
          </w:tcPr>
          <w:p w14:paraId="76248586" w14:textId="77777777"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Ley de Transparencia</w:t>
            </w:r>
          </w:p>
        </w:tc>
        <w:tc>
          <w:tcPr>
            <w:tcW w:w="1559" w:type="dxa"/>
            <w:shd w:val="clear" w:color="auto" w:fill="2E74B5" w:themeFill="accent1" w:themeFillShade="BF"/>
          </w:tcPr>
          <w:p w14:paraId="72235133"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tcPr>
          <w:p w14:paraId="4FEF048B"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 pero existe práctica de publicar en los sitios web portales de trasparencia.</w:t>
            </w:r>
          </w:p>
        </w:tc>
        <w:tc>
          <w:tcPr>
            <w:tcW w:w="1150" w:type="dxa"/>
          </w:tcPr>
          <w:p w14:paraId="1F8E1B72"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448F6389" w14:textId="77777777" w:rsidTr="00FE0C69">
        <w:tc>
          <w:tcPr>
            <w:tcW w:w="846" w:type="dxa"/>
          </w:tcPr>
          <w:p w14:paraId="36A2F275"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5</w:t>
            </w:r>
          </w:p>
        </w:tc>
        <w:tc>
          <w:tcPr>
            <w:tcW w:w="3969" w:type="dxa"/>
          </w:tcPr>
          <w:p w14:paraId="243C44A1" w14:textId="77777777"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Autorización previa de CGR (contratación personal, remuneraciones, contratos de servicios y bienes, inversiones, endeudamiento, etc.)</w:t>
            </w:r>
          </w:p>
        </w:tc>
        <w:tc>
          <w:tcPr>
            <w:tcW w:w="1559" w:type="dxa"/>
            <w:shd w:val="clear" w:color="auto" w:fill="2E74B5" w:themeFill="accent1" w:themeFillShade="BF"/>
          </w:tcPr>
          <w:p w14:paraId="37218AF6"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tcPr>
          <w:p w14:paraId="1CDCDB3B"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c>
          <w:tcPr>
            <w:tcW w:w="1150" w:type="dxa"/>
          </w:tcPr>
          <w:p w14:paraId="5FD3346F"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5AB69D22" w14:textId="77777777" w:rsidTr="00FE0C69">
        <w:tc>
          <w:tcPr>
            <w:tcW w:w="846" w:type="dxa"/>
          </w:tcPr>
          <w:p w14:paraId="4BEA571C"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6</w:t>
            </w:r>
          </w:p>
        </w:tc>
        <w:tc>
          <w:tcPr>
            <w:tcW w:w="3969" w:type="dxa"/>
          </w:tcPr>
          <w:p w14:paraId="781CACED" w14:textId="77777777"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Ley del Lobby</w:t>
            </w:r>
          </w:p>
        </w:tc>
        <w:tc>
          <w:tcPr>
            <w:tcW w:w="1559" w:type="dxa"/>
            <w:shd w:val="clear" w:color="auto" w:fill="2E74B5" w:themeFill="accent1" w:themeFillShade="BF"/>
          </w:tcPr>
          <w:p w14:paraId="7F23058B"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tcPr>
          <w:p w14:paraId="7D9892AA"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c>
          <w:tcPr>
            <w:tcW w:w="1150" w:type="dxa"/>
          </w:tcPr>
          <w:p w14:paraId="613F769F"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190D6E6E" w14:textId="77777777" w:rsidTr="00FE0C69">
        <w:tc>
          <w:tcPr>
            <w:tcW w:w="846" w:type="dxa"/>
          </w:tcPr>
          <w:p w14:paraId="2AB7065B"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7</w:t>
            </w:r>
          </w:p>
        </w:tc>
        <w:tc>
          <w:tcPr>
            <w:tcW w:w="3969" w:type="dxa"/>
          </w:tcPr>
          <w:p w14:paraId="4A7BA534" w14:textId="77777777"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Ley de compras públicas (publicación de todo lo que compran, valores contratos, condiciones, etc.)</w:t>
            </w:r>
          </w:p>
        </w:tc>
        <w:tc>
          <w:tcPr>
            <w:tcW w:w="1559" w:type="dxa"/>
            <w:shd w:val="clear" w:color="auto" w:fill="2E74B5" w:themeFill="accent1" w:themeFillShade="BF"/>
          </w:tcPr>
          <w:p w14:paraId="047D950F"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tcPr>
          <w:p w14:paraId="60CC19C5"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c>
          <w:tcPr>
            <w:tcW w:w="1150" w:type="dxa"/>
          </w:tcPr>
          <w:p w14:paraId="110572AF"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0BE648B6" w14:textId="77777777" w:rsidTr="00FE0C69">
        <w:tc>
          <w:tcPr>
            <w:tcW w:w="846" w:type="dxa"/>
          </w:tcPr>
          <w:p w14:paraId="3352370C"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8</w:t>
            </w:r>
          </w:p>
        </w:tc>
        <w:tc>
          <w:tcPr>
            <w:tcW w:w="3969" w:type="dxa"/>
          </w:tcPr>
          <w:p w14:paraId="74168CF7" w14:textId="77777777"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Ley N° 20.880 (Declaración de Intereses Autoridades Universitarias)</w:t>
            </w:r>
          </w:p>
        </w:tc>
        <w:tc>
          <w:tcPr>
            <w:tcW w:w="1559" w:type="dxa"/>
            <w:shd w:val="clear" w:color="auto" w:fill="2E74B5" w:themeFill="accent1" w:themeFillShade="BF"/>
          </w:tcPr>
          <w:p w14:paraId="202AD61F"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tcPr>
          <w:p w14:paraId="26651671"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c>
          <w:tcPr>
            <w:tcW w:w="1150" w:type="dxa"/>
          </w:tcPr>
          <w:p w14:paraId="0F1AA2DA"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r w:rsidR="003F7812" w:rsidRPr="00187E84" w14:paraId="249EA5C0" w14:textId="77777777" w:rsidTr="00FE0C69">
        <w:tc>
          <w:tcPr>
            <w:tcW w:w="846" w:type="dxa"/>
          </w:tcPr>
          <w:p w14:paraId="1C80147C"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9</w:t>
            </w:r>
          </w:p>
        </w:tc>
        <w:tc>
          <w:tcPr>
            <w:tcW w:w="3969" w:type="dxa"/>
          </w:tcPr>
          <w:p w14:paraId="789E8C85" w14:textId="77777777" w:rsidR="003F7812" w:rsidRPr="00187E84" w:rsidRDefault="003F7812" w:rsidP="004C1B28">
            <w:pPr>
              <w:spacing w:after="0" w:line="360" w:lineRule="auto"/>
              <w:rPr>
                <w:rFonts w:ascii="Cambria" w:hAnsi="Cambria" w:cstheme="minorHAnsi"/>
                <w:sz w:val="24"/>
                <w:szCs w:val="24"/>
              </w:rPr>
            </w:pPr>
            <w:r w:rsidRPr="00187E84">
              <w:rPr>
                <w:rFonts w:ascii="Cambria" w:hAnsi="Cambria" w:cstheme="minorHAnsi"/>
                <w:sz w:val="24"/>
                <w:szCs w:val="24"/>
              </w:rPr>
              <w:t>Ley 18.834. Ley de Procedimientos 19.880 y a la Ley de Bases Generales de la Administración, Ley N° 18.575.</w:t>
            </w:r>
          </w:p>
        </w:tc>
        <w:tc>
          <w:tcPr>
            <w:tcW w:w="1559" w:type="dxa"/>
            <w:shd w:val="clear" w:color="auto" w:fill="2E74B5" w:themeFill="accent1" w:themeFillShade="BF"/>
          </w:tcPr>
          <w:p w14:paraId="7581C259"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Aplica</w:t>
            </w:r>
          </w:p>
        </w:tc>
        <w:tc>
          <w:tcPr>
            <w:tcW w:w="1969" w:type="dxa"/>
          </w:tcPr>
          <w:p w14:paraId="0E09D03D"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c>
          <w:tcPr>
            <w:tcW w:w="1150" w:type="dxa"/>
          </w:tcPr>
          <w:p w14:paraId="29866A09" w14:textId="77777777" w:rsidR="003F7812" w:rsidRPr="00187E84" w:rsidRDefault="003F7812" w:rsidP="004C1B28">
            <w:pPr>
              <w:spacing w:after="0" w:line="360" w:lineRule="auto"/>
              <w:jc w:val="center"/>
              <w:rPr>
                <w:rFonts w:ascii="Cambria" w:hAnsi="Cambria" w:cstheme="minorHAnsi"/>
                <w:sz w:val="24"/>
                <w:szCs w:val="24"/>
              </w:rPr>
            </w:pPr>
            <w:r w:rsidRPr="00187E84">
              <w:rPr>
                <w:rFonts w:ascii="Cambria" w:hAnsi="Cambria" w:cstheme="minorHAnsi"/>
                <w:sz w:val="24"/>
                <w:szCs w:val="24"/>
              </w:rPr>
              <w:t>NO</w:t>
            </w:r>
          </w:p>
        </w:tc>
      </w:tr>
    </w:tbl>
    <w:p w14:paraId="75497F5A" w14:textId="77777777" w:rsidR="003F7812" w:rsidRPr="00187E84" w:rsidRDefault="003F7812" w:rsidP="00E41D82">
      <w:pPr>
        <w:spacing w:after="0" w:line="360" w:lineRule="auto"/>
        <w:jc w:val="both"/>
        <w:rPr>
          <w:rFonts w:ascii="Cambria" w:hAnsi="Cambria" w:cstheme="minorHAnsi"/>
          <w:sz w:val="24"/>
          <w:szCs w:val="24"/>
        </w:rPr>
      </w:pPr>
    </w:p>
    <w:p w14:paraId="1FA7A046" w14:textId="77777777" w:rsidR="003F7812" w:rsidRPr="00187E84" w:rsidRDefault="003F7812" w:rsidP="00E41D82">
      <w:pPr>
        <w:spacing w:after="0" w:line="360" w:lineRule="auto"/>
        <w:jc w:val="both"/>
        <w:rPr>
          <w:rFonts w:ascii="Cambria" w:hAnsi="Cambria" w:cstheme="minorHAnsi"/>
          <w:sz w:val="24"/>
          <w:szCs w:val="24"/>
        </w:rPr>
      </w:pPr>
    </w:p>
    <w:p w14:paraId="2FC9D08D" w14:textId="2659EBFA" w:rsidR="0028189E" w:rsidRPr="00187E84" w:rsidRDefault="0028189E" w:rsidP="00E41D82">
      <w:pPr>
        <w:pStyle w:val="Ttulo1"/>
        <w:numPr>
          <w:ilvl w:val="0"/>
          <w:numId w:val="21"/>
        </w:numPr>
        <w:spacing w:before="0" w:after="0" w:line="360" w:lineRule="auto"/>
        <w:jc w:val="both"/>
        <w:rPr>
          <w:rFonts w:ascii="Cambria" w:hAnsi="Cambria"/>
          <w:sz w:val="24"/>
          <w:szCs w:val="24"/>
        </w:rPr>
      </w:pPr>
      <w:r w:rsidRPr="00187E84">
        <w:rPr>
          <w:rFonts w:ascii="Cambria" w:hAnsi="Cambria"/>
          <w:sz w:val="24"/>
          <w:szCs w:val="24"/>
        </w:rPr>
        <w:t>Acerca del aumento de remuneraciones</w:t>
      </w:r>
    </w:p>
    <w:p w14:paraId="66F86135" w14:textId="77777777" w:rsidR="004C1B28" w:rsidRPr="00187E84" w:rsidRDefault="004C1B28" w:rsidP="00E41D82">
      <w:pPr>
        <w:spacing w:after="0" w:line="360" w:lineRule="auto"/>
        <w:jc w:val="both"/>
        <w:rPr>
          <w:rFonts w:ascii="Cambria" w:hAnsi="Cambria" w:cstheme="minorHAnsi"/>
          <w:sz w:val="24"/>
          <w:szCs w:val="24"/>
        </w:rPr>
      </w:pPr>
    </w:p>
    <w:p w14:paraId="1723D0A5" w14:textId="77777777" w:rsidR="001B14E5" w:rsidRPr="00D725B8" w:rsidRDefault="001B14E5" w:rsidP="001B14E5">
      <w:pPr>
        <w:jc w:val="both"/>
        <w:rPr>
          <w:rFonts w:ascii="Cambria" w:hAnsi="Cambria"/>
          <w:sz w:val="24"/>
          <w:szCs w:val="24"/>
        </w:rPr>
      </w:pPr>
      <w:r w:rsidRPr="00D725B8">
        <w:rPr>
          <w:rFonts w:ascii="Cambria" w:hAnsi="Cambria"/>
          <w:sz w:val="24"/>
          <w:szCs w:val="24"/>
        </w:rPr>
        <w:t xml:space="preserve">Frente a las críticas reiteradas de parte del Ejecutivo respecto a eventuales aumentos sostenidos del gasto por remuneraciones en las universidades receptoras de aportes fiscales, es importante precisar algunos elementos. </w:t>
      </w:r>
    </w:p>
    <w:p w14:paraId="540801FD" w14:textId="77777777" w:rsidR="001B14E5" w:rsidRPr="00D725B8" w:rsidRDefault="001B14E5" w:rsidP="001B14E5">
      <w:pPr>
        <w:jc w:val="both"/>
        <w:rPr>
          <w:rFonts w:ascii="Cambria" w:hAnsi="Cambria"/>
          <w:sz w:val="24"/>
          <w:szCs w:val="24"/>
        </w:rPr>
      </w:pPr>
      <w:r w:rsidRPr="00D725B8">
        <w:rPr>
          <w:rFonts w:ascii="Cambria" w:hAnsi="Cambria"/>
          <w:sz w:val="24"/>
          <w:szCs w:val="24"/>
        </w:rPr>
        <w:t>Si se observa la información entre 2016 (año en que se hizo efectiva la política de Gratuidad) y el último año de registros disponibles en las plataformas institucionales del Ministerio de Educación (FECU 2020), es claro que el aumento del gasto por remuneraciones viene acompañado de un importante contexto que la autoridad omite</w:t>
      </w:r>
    </w:p>
    <w:p w14:paraId="52411BA7" w14:textId="77777777" w:rsidR="001B14E5" w:rsidRPr="00D725B8" w:rsidRDefault="001B14E5" w:rsidP="001B14E5">
      <w:pPr>
        <w:jc w:val="both"/>
        <w:rPr>
          <w:rFonts w:ascii="Cambria" w:hAnsi="Cambria"/>
          <w:sz w:val="24"/>
          <w:szCs w:val="24"/>
        </w:rPr>
      </w:pPr>
      <w:r w:rsidRPr="00D725B8">
        <w:rPr>
          <w:rFonts w:ascii="Cambria" w:hAnsi="Cambria"/>
          <w:sz w:val="24"/>
          <w:szCs w:val="24"/>
        </w:rPr>
        <w:lastRenderedPageBreak/>
        <w:t xml:space="preserve">En primer lugar, el Ejecutivo no considera la creación de dos nuevas universidades estatales en el período, cuestión que claramente afecta los resultados finales del ejercicio contable total. Por otro lado, no toma en consideración el aumento de matrícula total que experimentaron las instituciones del CRUCH en el mismo período, cuestión que justificaría por si sola cualquier tipo de variación en el ítem remuneraciones. </w:t>
      </w:r>
    </w:p>
    <w:p w14:paraId="26CEC038" w14:textId="710B105C" w:rsidR="001B14E5" w:rsidRPr="00D725B8" w:rsidRDefault="001B14E5" w:rsidP="001B14E5">
      <w:pPr>
        <w:jc w:val="both"/>
        <w:rPr>
          <w:rFonts w:ascii="Cambria" w:hAnsi="Cambria"/>
          <w:sz w:val="24"/>
          <w:szCs w:val="24"/>
        </w:rPr>
      </w:pPr>
      <w:r w:rsidRPr="00D725B8">
        <w:rPr>
          <w:rFonts w:ascii="Cambria" w:hAnsi="Cambria"/>
          <w:sz w:val="24"/>
          <w:szCs w:val="24"/>
        </w:rPr>
        <w:t xml:space="preserve">En la tabla </w:t>
      </w:r>
      <w:r>
        <w:rPr>
          <w:rFonts w:ascii="Cambria" w:hAnsi="Cambria"/>
          <w:sz w:val="24"/>
          <w:szCs w:val="24"/>
        </w:rPr>
        <w:t>4</w:t>
      </w:r>
      <w:r w:rsidRPr="00D725B8">
        <w:rPr>
          <w:rFonts w:ascii="Cambria" w:hAnsi="Cambria"/>
          <w:sz w:val="24"/>
          <w:szCs w:val="24"/>
        </w:rPr>
        <w:t xml:space="preserve"> se resumen las variaciones en las universidades estatales sin considerar las nuevas universidades de Aysén y O'Higgins, dado que su inclusión eleva artificialmente los incrementos en el ítem directivos y administrativos, al existir una distinta base de comparación.  </w:t>
      </w:r>
    </w:p>
    <w:p w14:paraId="64B0E30F" w14:textId="4A01A333" w:rsidR="001B14E5" w:rsidRPr="00D725B8" w:rsidRDefault="001B14E5" w:rsidP="001B14E5">
      <w:pPr>
        <w:jc w:val="both"/>
        <w:rPr>
          <w:rFonts w:ascii="Cambria" w:hAnsi="Cambria"/>
          <w:sz w:val="24"/>
          <w:szCs w:val="24"/>
        </w:rPr>
      </w:pPr>
      <w:r w:rsidRPr="00D725B8">
        <w:rPr>
          <w:rFonts w:ascii="Cambria" w:hAnsi="Cambria"/>
          <w:sz w:val="24"/>
          <w:szCs w:val="24"/>
        </w:rPr>
        <w:t xml:space="preserve">Por otro lado, todo análisis no puede omitir las exigencias especiales que rigen al sector estatal. A diferencia de las instituciones privadas, las universidades estatales actualizan las remuneraciones de sus funcionarios de acuerdo al reajuste del sector público. En el período analizado, sólo este factor explica más de 2 puntos porcentuales en los incrementos del gasto por remuneraciones mostrados en la tabla </w:t>
      </w:r>
      <w:r>
        <w:rPr>
          <w:rFonts w:ascii="Cambria" w:hAnsi="Cambria"/>
          <w:sz w:val="24"/>
          <w:szCs w:val="24"/>
        </w:rPr>
        <w:t>4</w:t>
      </w:r>
      <w:r w:rsidRPr="00D725B8">
        <w:rPr>
          <w:rFonts w:ascii="Cambria" w:hAnsi="Cambria"/>
          <w:sz w:val="24"/>
          <w:szCs w:val="24"/>
        </w:rPr>
        <w:t xml:space="preserve">. </w:t>
      </w:r>
    </w:p>
    <w:p w14:paraId="7103918F" w14:textId="2BD80149" w:rsidR="001B14E5" w:rsidRPr="00D725B8" w:rsidRDefault="001B14E5" w:rsidP="001B14E5">
      <w:pPr>
        <w:jc w:val="both"/>
        <w:rPr>
          <w:rFonts w:ascii="Cambria" w:hAnsi="Cambria"/>
          <w:sz w:val="24"/>
          <w:szCs w:val="24"/>
        </w:rPr>
      </w:pPr>
      <w:r w:rsidRPr="00D725B8">
        <w:rPr>
          <w:rFonts w:ascii="Cambria" w:hAnsi="Cambria"/>
          <w:sz w:val="24"/>
          <w:szCs w:val="24"/>
        </w:rPr>
        <w:t xml:space="preserve">Asimismo, debe tenerse en cuenta que tanto Universidades del Estado como </w:t>
      </w:r>
      <w:r w:rsidR="0040599B">
        <w:rPr>
          <w:rFonts w:ascii="Cambria" w:hAnsi="Cambria"/>
          <w:sz w:val="24"/>
          <w:szCs w:val="24"/>
        </w:rPr>
        <w:t xml:space="preserve">Universidades Públicas No Estatales del </w:t>
      </w:r>
      <w:r w:rsidRPr="00D725B8">
        <w:rPr>
          <w:rFonts w:ascii="Cambria" w:hAnsi="Cambria"/>
          <w:sz w:val="24"/>
          <w:szCs w:val="24"/>
        </w:rPr>
        <w:t xml:space="preserve">CRUCH aumentaron su matrícula total (reportada en los </w:t>
      </w:r>
      <w:r w:rsidR="00FE69AE">
        <w:rPr>
          <w:rFonts w:ascii="Cambria" w:hAnsi="Cambria"/>
          <w:sz w:val="24"/>
          <w:szCs w:val="24"/>
        </w:rPr>
        <w:t xml:space="preserve">Estados Financieros, </w:t>
      </w:r>
      <w:r w:rsidRPr="00D725B8">
        <w:rPr>
          <w:rFonts w:ascii="Cambria" w:hAnsi="Cambria"/>
          <w:sz w:val="24"/>
          <w:szCs w:val="24"/>
        </w:rPr>
        <w:t>EEFF) en porcentajes superiores a los incrementos del gasto por remuneraciones totales. Ambas aumentaron su matrícula en un porcentaje de 14-21%, mientras que las variaciones en el gasto por remuneraciones lo hicieron en un 5-13%. De esa forma, los aumentos en el gasto por remuneraciones estarían plenamente justificados, en cuanto una mayor matrícula implica requerimientos de personal académico y administrativo crecientes.  La relación directa entre cambios de la matrícula total y cambios en los gastos por remuneraciones se ve reforzado en el comportamiento de los Centros de Formación Técnica e Institutos Profesionales. Por ello, resulta llamativa la constante referencia del Ejecutivo a este tema.</w:t>
      </w:r>
    </w:p>
    <w:p w14:paraId="30F4165B" w14:textId="041D44A7" w:rsidR="001B14E5" w:rsidRPr="00D725B8" w:rsidRDefault="001B14E5" w:rsidP="001B14E5">
      <w:pPr>
        <w:jc w:val="both"/>
        <w:rPr>
          <w:rFonts w:ascii="Cambria" w:hAnsi="Cambria"/>
          <w:sz w:val="24"/>
          <w:szCs w:val="24"/>
        </w:rPr>
      </w:pPr>
      <w:r w:rsidRPr="00D725B8">
        <w:rPr>
          <w:rFonts w:ascii="Cambria" w:hAnsi="Cambria"/>
          <w:sz w:val="24"/>
          <w:szCs w:val="24"/>
        </w:rPr>
        <w:t xml:space="preserve">Un último punto importante a considerar se refiere al ítem de "otras remuneraciones" el que, en el caso de las universidades estatales se encuentra explicado por la aplicación de las leyes Nº20.996 y Nº21.043 de incentivo al retiro, en aplicación a partir de 2017. Dichas leyes consideran una bonificación adicional </w:t>
      </w:r>
      <w:r w:rsidR="00404D98">
        <w:rPr>
          <w:rFonts w:ascii="Cambria" w:hAnsi="Cambria" w:cstheme="minorHAnsi"/>
          <w:sz w:val="24"/>
          <w:szCs w:val="24"/>
        </w:rPr>
        <w:t xml:space="preserve">de hasta 11 meses </w:t>
      </w:r>
      <w:r w:rsidR="00794E48">
        <w:rPr>
          <w:rFonts w:ascii="Cambria" w:hAnsi="Cambria" w:cstheme="minorHAnsi"/>
          <w:sz w:val="24"/>
          <w:szCs w:val="24"/>
        </w:rPr>
        <w:t xml:space="preserve">de </w:t>
      </w:r>
      <w:r w:rsidR="00404D98">
        <w:rPr>
          <w:rFonts w:ascii="Cambria" w:hAnsi="Cambria" w:cstheme="minorHAnsi"/>
          <w:sz w:val="24"/>
          <w:szCs w:val="24"/>
        </w:rPr>
        <w:t>la renta mensual cuando un académico o funcionario se acoge a retiro al cumplir 65 años y que se imputa a remuneraciones,</w:t>
      </w:r>
      <w:r w:rsidR="00404D98" w:rsidRPr="00D725B8">
        <w:rPr>
          <w:rFonts w:ascii="Cambria" w:hAnsi="Cambria"/>
          <w:sz w:val="24"/>
          <w:szCs w:val="24"/>
        </w:rPr>
        <w:t xml:space="preserve"> </w:t>
      </w:r>
      <w:r w:rsidRPr="00D725B8">
        <w:rPr>
          <w:rFonts w:ascii="Cambria" w:hAnsi="Cambria"/>
          <w:sz w:val="24"/>
          <w:szCs w:val="24"/>
        </w:rPr>
        <w:t xml:space="preserve">lo cual justifica el aumento experimentado en el ítem durante el período observado. </w:t>
      </w:r>
    </w:p>
    <w:p w14:paraId="32E5860B" w14:textId="77777777" w:rsidR="0028189E" w:rsidRDefault="0028189E" w:rsidP="004C1B28">
      <w:pPr>
        <w:spacing w:after="0" w:line="360" w:lineRule="auto"/>
        <w:jc w:val="center"/>
        <w:rPr>
          <w:rFonts w:ascii="Cambria" w:hAnsi="Cambria" w:cstheme="minorHAnsi"/>
          <w:b/>
          <w:sz w:val="24"/>
          <w:szCs w:val="24"/>
        </w:rPr>
      </w:pPr>
    </w:p>
    <w:p w14:paraId="6DB7D714" w14:textId="50175FD4" w:rsidR="001B14E5" w:rsidRPr="001B14E5" w:rsidRDefault="001B14E5" w:rsidP="001B14E5">
      <w:pPr>
        <w:keepNext/>
        <w:spacing w:line="240" w:lineRule="auto"/>
        <w:jc w:val="center"/>
        <w:rPr>
          <w:rFonts w:ascii="Cambria" w:hAnsi="Cambria"/>
          <w:b/>
          <w:i/>
          <w:iCs/>
          <w:sz w:val="24"/>
          <w:szCs w:val="24"/>
          <w:lang w:val="es-ES"/>
        </w:rPr>
      </w:pPr>
      <w:r w:rsidRPr="001B14E5">
        <w:rPr>
          <w:rFonts w:ascii="Cambria" w:hAnsi="Cambria"/>
          <w:b/>
          <w:i/>
          <w:iCs/>
          <w:sz w:val="24"/>
          <w:szCs w:val="24"/>
          <w:lang w:val="es-ES"/>
        </w:rPr>
        <w:t xml:space="preserve">Tabla </w:t>
      </w:r>
      <w:r>
        <w:rPr>
          <w:rFonts w:ascii="Cambria" w:hAnsi="Cambria"/>
          <w:b/>
          <w:i/>
          <w:iCs/>
          <w:sz w:val="24"/>
          <w:szCs w:val="24"/>
          <w:lang w:val="es-ES"/>
        </w:rPr>
        <w:t>4</w:t>
      </w:r>
      <w:r w:rsidRPr="001B14E5">
        <w:rPr>
          <w:rFonts w:ascii="Cambria" w:hAnsi="Cambria"/>
          <w:b/>
          <w:i/>
          <w:iCs/>
          <w:sz w:val="24"/>
          <w:szCs w:val="24"/>
          <w:lang w:val="es-ES"/>
        </w:rPr>
        <w:t>: Incremento del gasto por remuneraciones y matrícula según FECU y EEFF 2017-2020</w:t>
      </w:r>
    </w:p>
    <w:tbl>
      <w:tblPr>
        <w:tblW w:w="10502" w:type="dxa"/>
        <w:jc w:val="center"/>
        <w:tblLayout w:type="fixed"/>
        <w:tblCellMar>
          <w:left w:w="70" w:type="dxa"/>
          <w:right w:w="70" w:type="dxa"/>
        </w:tblCellMar>
        <w:tblLook w:val="04A0" w:firstRow="1" w:lastRow="0" w:firstColumn="1" w:lastColumn="0" w:noHBand="0" w:noVBand="1"/>
      </w:tblPr>
      <w:tblGrid>
        <w:gridCol w:w="1583"/>
        <w:gridCol w:w="1565"/>
        <w:gridCol w:w="1506"/>
        <w:gridCol w:w="1508"/>
        <w:gridCol w:w="1506"/>
        <w:gridCol w:w="1557"/>
        <w:gridCol w:w="1277"/>
      </w:tblGrid>
      <w:tr w:rsidR="001B14E5" w:rsidRPr="001B14E5" w14:paraId="7443B33C" w14:textId="77777777" w:rsidTr="00F604F1">
        <w:trPr>
          <w:trHeight w:val="43"/>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30DA8" w14:textId="77777777" w:rsidR="001B14E5" w:rsidRPr="001B14E5" w:rsidRDefault="001B14E5" w:rsidP="00F604F1">
            <w:pPr>
              <w:spacing w:after="0" w:line="240" w:lineRule="auto"/>
              <w:jc w:val="both"/>
              <w:rPr>
                <w:rFonts w:ascii="Cambria" w:eastAsia="Times New Roman" w:hAnsi="Cambria" w:cs="Calibri"/>
                <w:color w:val="000000"/>
                <w:sz w:val="16"/>
                <w:szCs w:val="16"/>
                <w:lang w:eastAsia="es-ES_tradnl"/>
              </w:rPr>
            </w:pPr>
            <w:r w:rsidRPr="001B14E5">
              <w:rPr>
                <w:rFonts w:ascii="Cambria" w:eastAsia="Times New Roman" w:hAnsi="Cambria" w:cs="Calibri"/>
                <w:color w:val="000000"/>
                <w:sz w:val="16"/>
                <w:szCs w:val="16"/>
                <w:lang w:eastAsia="es-ES_tradnl"/>
              </w:rPr>
              <w:t> </w:t>
            </w:r>
          </w:p>
        </w:tc>
        <w:tc>
          <w:tcPr>
            <w:tcW w:w="1565" w:type="dxa"/>
            <w:tcBorders>
              <w:top w:val="single" w:sz="4" w:space="0" w:color="auto"/>
              <w:left w:val="nil"/>
              <w:bottom w:val="single" w:sz="4" w:space="0" w:color="auto"/>
              <w:right w:val="single" w:sz="4" w:space="0" w:color="auto"/>
            </w:tcBorders>
            <w:shd w:val="clear" w:color="auto" w:fill="auto"/>
            <w:noWrap/>
            <w:hideMark/>
          </w:tcPr>
          <w:p w14:paraId="15EFB562" w14:textId="77777777" w:rsidR="001B14E5" w:rsidRPr="001B14E5" w:rsidRDefault="001B14E5" w:rsidP="00F604F1">
            <w:pPr>
              <w:spacing w:after="0" w:line="240" w:lineRule="auto"/>
              <w:jc w:val="center"/>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Incremento gasto por remuneraciones académicos</w:t>
            </w:r>
          </w:p>
          <w:p w14:paraId="280E31CA" w14:textId="77777777" w:rsidR="001B14E5" w:rsidRPr="001B14E5" w:rsidRDefault="001B14E5" w:rsidP="00F604F1">
            <w:pPr>
              <w:spacing w:after="0" w:line="240" w:lineRule="auto"/>
              <w:jc w:val="center"/>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2016-2019</w:t>
            </w:r>
          </w:p>
        </w:tc>
        <w:tc>
          <w:tcPr>
            <w:tcW w:w="1506" w:type="dxa"/>
            <w:tcBorders>
              <w:top w:val="single" w:sz="4" w:space="0" w:color="auto"/>
              <w:left w:val="single" w:sz="4" w:space="0" w:color="auto"/>
              <w:bottom w:val="single" w:sz="4" w:space="0" w:color="auto"/>
              <w:right w:val="single" w:sz="4" w:space="0" w:color="auto"/>
            </w:tcBorders>
          </w:tcPr>
          <w:p w14:paraId="4398ED45" w14:textId="77777777" w:rsidR="001B14E5" w:rsidRPr="001B14E5" w:rsidRDefault="001B14E5" w:rsidP="00F604F1">
            <w:pPr>
              <w:spacing w:after="0" w:line="240" w:lineRule="auto"/>
              <w:jc w:val="center"/>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Incremento gasto por remuneraciones directivos</w:t>
            </w:r>
          </w:p>
          <w:p w14:paraId="5CD35691" w14:textId="77777777" w:rsidR="001B14E5" w:rsidRPr="001B14E5" w:rsidRDefault="001B14E5" w:rsidP="00F604F1">
            <w:pPr>
              <w:spacing w:after="0" w:line="240" w:lineRule="auto"/>
              <w:jc w:val="center"/>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2016-2019</w:t>
            </w:r>
          </w:p>
        </w:tc>
        <w:tc>
          <w:tcPr>
            <w:tcW w:w="1508" w:type="dxa"/>
            <w:tcBorders>
              <w:top w:val="single" w:sz="4" w:space="0" w:color="auto"/>
              <w:left w:val="single" w:sz="4" w:space="0" w:color="auto"/>
              <w:bottom w:val="single" w:sz="4" w:space="0" w:color="auto"/>
              <w:right w:val="single" w:sz="4" w:space="0" w:color="auto"/>
            </w:tcBorders>
          </w:tcPr>
          <w:p w14:paraId="32ACE519" w14:textId="77777777" w:rsidR="001B14E5" w:rsidRPr="001B14E5" w:rsidRDefault="001B14E5" w:rsidP="00F604F1">
            <w:pPr>
              <w:spacing w:after="0" w:line="240" w:lineRule="auto"/>
              <w:jc w:val="center"/>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Incremento gasto por remuneraciones administrativos 2016-2019</w:t>
            </w:r>
          </w:p>
          <w:p w14:paraId="2DDDC38E"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p>
        </w:tc>
        <w:tc>
          <w:tcPr>
            <w:tcW w:w="1506" w:type="dxa"/>
            <w:tcBorders>
              <w:top w:val="single" w:sz="4" w:space="0" w:color="auto"/>
              <w:left w:val="single" w:sz="4" w:space="0" w:color="auto"/>
              <w:bottom w:val="single" w:sz="4" w:space="0" w:color="auto"/>
              <w:right w:val="single" w:sz="4" w:space="0" w:color="auto"/>
            </w:tcBorders>
          </w:tcPr>
          <w:p w14:paraId="2FA3DF66" w14:textId="77777777" w:rsidR="001B14E5" w:rsidRPr="001B14E5" w:rsidRDefault="001B14E5" w:rsidP="00F604F1">
            <w:pPr>
              <w:spacing w:after="0" w:line="240" w:lineRule="auto"/>
              <w:jc w:val="center"/>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Incremento gasto por otras remuneraciones  2016-2019</w:t>
            </w:r>
          </w:p>
          <w:p w14:paraId="3CBE2A77"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p>
        </w:tc>
        <w:tc>
          <w:tcPr>
            <w:tcW w:w="1557" w:type="dxa"/>
            <w:tcBorders>
              <w:top w:val="single" w:sz="4" w:space="0" w:color="auto"/>
              <w:left w:val="single" w:sz="4" w:space="0" w:color="auto"/>
              <w:bottom w:val="single" w:sz="4" w:space="0" w:color="auto"/>
              <w:right w:val="single" w:sz="4" w:space="0" w:color="auto"/>
            </w:tcBorders>
          </w:tcPr>
          <w:p w14:paraId="666FEBF9"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eastAsia="Times New Roman" w:hAnsi="Cambria" w:cs="Calibri"/>
                <w:b/>
                <w:bCs/>
                <w:color w:val="000000"/>
                <w:sz w:val="16"/>
                <w:szCs w:val="16"/>
                <w:lang w:eastAsia="es-ES_tradnl"/>
              </w:rPr>
              <w:t>Incremento gasto por remuneraciones  totales</w:t>
            </w:r>
          </w:p>
          <w:p w14:paraId="6EBC9A01"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eastAsia="Times New Roman" w:hAnsi="Cambria" w:cs="Calibri"/>
                <w:b/>
                <w:bCs/>
                <w:color w:val="000000"/>
                <w:sz w:val="16"/>
                <w:szCs w:val="16"/>
                <w:lang w:eastAsia="es-ES_tradnl"/>
              </w:rPr>
              <w:t>2016-2019</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546CFD71"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eastAsia="Times New Roman" w:hAnsi="Cambria" w:cs="Calibri"/>
                <w:b/>
                <w:bCs/>
                <w:color w:val="000000"/>
                <w:sz w:val="16"/>
                <w:szCs w:val="16"/>
                <w:lang w:eastAsia="es-ES_tradnl"/>
              </w:rPr>
              <w:t>Incrementos de matrícula total</w:t>
            </w:r>
            <w:r w:rsidRPr="001B14E5">
              <w:rPr>
                <w:rFonts w:ascii="Cambria" w:eastAsia="Times New Roman" w:hAnsi="Cambria" w:cs="Calibri"/>
                <w:b/>
                <w:bCs/>
                <w:color w:val="000000"/>
                <w:sz w:val="16"/>
                <w:szCs w:val="16"/>
                <w:lang w:eastAsia="es-ES_tradnl"/>
              </w:rPr>
              <w:br/>
              <w:t>entre 2016-2019</w:t>
            </w:r>
          </w:p>
        </w:tc>
      </w:tr>
      <w:tr w:rsidR="001B14E5" w:rsidRPr="001B14E5" w14:paraId="55822D2D" w14:textId="77777777" w:rsidTr="00F604F1">
        <w:trPr>
          <w:trHeight w:val="137"/>
          <w:jc w:val="center"/>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6440072C" w14:textId="77777777" w:rsidR="001B14E5" w:rsidRPr="001B14E5" w:rsidRDefault="001B14E5" w:rsidP="00F604F1">
            <w:pPr>
              <w:spacing w:after="0" w:line="240" w:lineRule="auto"/>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CFT</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075FFEED"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-9%</w:t>
            </w:r>
          </w:p>
        </w:tc>
        <w:tc>
          <w:tcPr>
            <w:tcW w:w="1506" w:type="dxa"/>
            <w:tcBorders>
              <w:top w:val="single" w:sz="4" w:space="0" w:color="auto"/>
              <w:left w:val="single" w:sz="4" w:space="0" w:color="auto"/>
              <w:bottom w:val="single" w:sz="4" w:space="0" w:color="auto"/>
              <w:right w:val="single" w:sz="4" w:space="0" w:color="auto"/>
            </w:tcBorders>
            <w:vAlign w:val="bottom"/>
          </w:tcPr>
          <w:p w14:paraId="08C378B5"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-25%</w:t>
            </w:r>
          </w:p>
        </w:tc>
        <w:tc>
          <w:tcPr>
            <w:tcW w:w="1508" w:type="dxa"/>
            <w:tcBorders>
              <w:top w:val="single" w:sz="4" w:space="0" w:color="auto"/>
              <w:left w:val="single" w:sz="4" w:space="0" w:color="auto"/>
              <w:bottom w:val="single" w:sz="4" w:space="0" w:color="auto"/>
              <w:right w:val="single" w:sz="4" w:space="0" w:color="auto"/>
            </w:tcBorders>
            <w:vAlign w:val="bottom"/>
          </w:tcPr>
          <w:p w14:paraId="4DFA6A7B"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0%</w:t>
            </w:r>
          </w:p>
        </w:tc>
        <w:tc>
          <w:tcPr>
            <w:tcW w:w="1506" w:type="dxa"/>
            <w:tcBorders>
              <w:top w:val="single" w:sz="4" w:space="0" w:color="auto"/>
              <w:left w:val="single" w:sz="4" w:space="0" w:color="auto"/>
              <w:bottom w:val="single" w:sz="4" w:space="0" w:color="auto"/>
              <w:right w:val="single" w:sz="4" w:space="0" w:color="auto"/>
            </w:tcBorders>
            <w:vAlign w:val="bottom"/>
          </w:tcPr>
          <w:p w14:paraId="1AD3C967"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-6%</w:t>
            </w:r>
          </w:p>
        </w:tc>
        <w:tc>
          <w:tcPr>
            <w:tcW w:w="1557" w:type="dxa"/>
            <w:tcBorders>
              <w:top w:val="single" w:sz="4" w:space="0" w:color="auto"/>
              <w:left w:val="single" w:sz="4" w:space="0" w:color="auto"/>
              <w:bottom w:val="single" w:sz="4" w:space="0" w:color="auto"/>
              <w:right w:val="single" w:sz="4" w:space="0" w:color="auto"/>
            </w:tcBorders>
            <w:vAlign w:val="bottom"/>
          </w:tcPr>
          <w:p w14:paraId="49E22A4B"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-8%</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49BB"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b/>
                <w:bCs/>
                <w:color w:val="000000"/>
                <w:sz w:val="16"/>
                <w:szCs w:val="16"/>
              </w:rPr>
              <w:t>-5%</w:t>
            </w:r>
          </w:p>
        </w:tc>
      </w:tr>
      <w:tr w:rsidR="001B14E5" w:rsidRPr="001B14E5" w14:paraId="680D69DD" w14:textId="77777777" w:rsidTr="00F604F1">
        <w:trPr>
          <w:trHeight w:val="110"/>
          <w:jc w:val="center"/>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7E0BF18F" w14:textId="77777777" w:rsidR="001B14E5" w:rsidRPr="001B14E5" w:rsidRDefault="001B14E5" w:rsidP="00F604F1">
            <w:pPr>
              <w:spacing w:after="0" w:line="240" w:lineRule="auto"/>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IP</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2B3EEF77"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2%</w:t>
            </w:r>
          </w:p>
        </w:tc>
        <w:tc>
          <w:tcPr>
            <w:tcW w:w="1506" w:type="dxa"/>
            <w:tcBorders>
              <w:top w:val="single" w:sz="4" w:space="0" w:color="auto"/>
              <w:left w:val="single" w:sz="4" w:space="0" w:color="auto"/>
              <w:bottom w:val="single" w:sz="4" w:space="0" w:color="auto"/>
              <w:right w:val="single" w:sz="4" w:space="0" w:color="auto"/>
            </w:tcBorders>
            <w:vAlign w:val="bottom"/>
          </w:tcPr>
          <w:p w14:paraId="28756D17"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8%</w:t>
            </w:r>
          </w:p>
        </w:tc>
        <w:tc>
          <w:tcPr>
            <w:tcW w:w="1508" w:type="dxa"/>
            <w:tcBorders>
              <w:top w:val="single" w:sz="4" w:space="0" w:color="auto"/>
              <w:left w:val="single" w:sz="4" w:space="0" w:color="auto"/>
              <w:bottom w:val="single" w:sz="4" w:space="0" w:color="auto"/>
              <w:right w:val="single" w:sz="4" w:space="0" w:color="auto"/>
            </w:tcBorders>
            <w:vAlign w:val="bottom"/>
          </w:tcPr>
          <w:p w14:paraId="3BE6E26C"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1%</w:t>
            </w:r>
          </w:p>
        </w:tc>
        <w:tc>
          <w:tcPr>
            <w:tcW w:w="1506" w:type="dxa"/>
            <w:tcBorders>
              <w:top w:val="single" w:sz="4" w:space="0" w:color="auto"/>
              <w:left w:val="single" w:sz="4" w:space="0" w:color="auto"/>
              <w:bottom w:val="single" w:sz="4" w:space="0" w:color="auto"/>
              <w:right w:val="single" w:sz="4" w:space="0" w:color="auto"/>
            </w:tcBorders>
            <w:vAlign w:val="bottom"/>
          </w:tcPr>
          <w:p w14:paraId="2389259F"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19%</w:t>
            </w:r>
          </w:p>
        </w:tc>
        <w:tc>
          <w:tcPr>
            <w:tcW w:w="1557" w:type="dxa"/>
            <w:tcBorders>
              <w:top w:val="single" w:sz="4" w:space="0" w:color="auto"/>
              <w:left w:val="single" w:sz="4" w:space="0" w:color="auto"/>
              <w:bottom w:val="single" w:sz="4" w:space="0" w:color="auto"/>
              <w:right w:val="single" w:sz="4" w:space="0" w:color="auto"/>
            </w:tcBorders>
            <w:vAlign w:val="bottom"/>
          </w:tcPr>
          <w:p w14:paraId="5F751D2D"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4%</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2E13"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b/>
                <w:bCs/>
                <w:color w:val="000000"/>
                <w:sz w:val="16"/>
                <w:szCs w:val="16"/>
              </w:rPr>
              <w:t>0%</w:t>
            </w:r>
          </w:p>
        </w:tc>
      </w:tr>
      <w:tr w:rsidR="001B14E5" w:rsidRPr="001B14E5" w14:paraId="08596AE3" w14:textId="77777777" w:rsidTr="00F604F1">
        <w:trPr>
          <w:trHeight w:val="43"/>
          <w:jc w:val="center"/>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65A330C1" w14:textId="2C8D50DF" w:rsidR="001B14E5" w:rsidRPr="001B14E5" w:rsidRDefault="001B14E5" w:rsidP="00F604F1">
            <w:pPr>
              <w:spacing w:after="0" w:line="240" w:lineRule="auto"/>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 xml:space="preserve">Ues Estatales </w:t>
            </w:r>
            <w:r w:rsidRPr="001B14E5">
              <w:rPr>
                <w:rFonts w:ascii="Cambria" w:eastAsia="Times New Roman" w:hAnsi="Cambria" w:cs="Calibri"/>
                <w:b/>
                <w:color w:val="000000"/>
                <w:sz w:val="16"/>
                <w:szCs w:val="16"/>
                <w:lang w:eastAsia="es-ES_tradnl"/>
              </w:rPr>
              <w:br/>
              <w:t xml:space="preserve">sin </w:t>
            </w:r>
            <w:r w:rsidR="00404D98">
              <w:rPr>
                <w:rFonts w:ascii="Cambria" w:eastAsia="Times New Roman" w:hAnsi="Cambria" w:cs="Calibri"/>
                <w:b/>
                <w:color w:val="000000"/>
                <w:sz w:val="16"/>
                <w:szCs w:val="16"/>
                <w:lang w:eastAsia="es-ES_tradnl"/>
              </w:rPr>
              <w:t>U.</w:t>
            </w:r>
            <w:r w:rsidRPr="001B14E5">
              <w:rPr>
                <w:rFonts w:ascii="Cambria" w:eastAsia="Times New Roman" w:hAnsi="Cambria" w:cs="Calibri"/>
                <w:b/>
                <w:color w:val="000000"/>
                <w:sz w:val="16"/>
                <w:szCs w:val="16"/>
                <w:lang w:eastAsia="es-ES_tradnl"/>
              </w:rPr>
              <w:t xml:space="preserve">Aysén y </w:t>
            </w:r>
            <w:r w:rsidR="00404D98">
              <w:rPr>
                <w:rFonts w:ascii="Cambria" w:eastAsia="Times New Roman" w:hAnsi="Cambria" w:cs="Calibri"/>
                <w:b/>
                <w:color w:val="000000"/>
                <w:sz w:val="16"/>
                <w:szCs w:val="16"/>
                <w:lang w:eastAsia="es-ES_tradnl"/>
              </w:rPr>
              <w:t xml:space="preserve">U. </w:t>
            </w:r>
            <w:r w:rsidRPr="001B14E5">
              <w:rPr>
                <w:rFonts w:ascii="Cambria" w:eastAsia="Times New Roman" w:hAnsi="Cambria" w:cs="Calibri"/>
                <w:b/>
                <w:color w:val="000000"/>
                <w:sz w:val="16"/>
                <w:szCs w:val="16"/>
                <w:lang w:eastAsia="es-ES_tradnl"/>
              </w:rPr>
              <w:t xml:space="preserve">O'Higgins </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4092446A"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7%</w:t>
            </w:r>
          </w:p>
        </w:tc>
        <w:tc>
          <w:tcPr>
            <w:tcW w:w="1506" w:type="dxa"/>
            <w:tcBorders>
              <w:top w:val="single" w:sz="4" w:space="0" w:color="auto"/>
              <w:left w:val="single" w:sz="4" w:space="0" w:color="auto"/>
              <w:bottom w:val="single" w:sz="4" w:space="0" w:color="auto"/>
              <w:right w:val="single" w:sz="4" w:space="0" w:color="auto"/>
            </w:tcBorders>
            <w:vAlign w:val="bottom"/>
          </w:tcPr>
          <w:p w14:paraId="46576A5A"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6%</w:t>
            </w:r>
          </w:p>
        </w:tc>
        <w:tc>
          <w:tcPr>
            <w:tcW w:w="1508" w:type="dxa"/>
            <w:tcBorders>
              <w:top w:val="single" w:sz="4" w:space="0" w:color="auto"/>
              <w:left w:val="single" w:sz="4" w:space="0" w:color="auto"/>
              <w:bottom w:val="single" w:sz="4" w:space="0" w:color="auto"/>
              <w:right w:val="single" w:sz="4" w:space="0" w:color="auto"/>
            </w:tcBorders>
            <w:vAlign w:val="bottom"/>
          </w:tcPr>
          <w:p w14:paraId="2297E25A"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15%</w:t>
            </w:r>
          </w:p>
        </w:tc>
        <w:tc>
          <w:tcPr>
            <w:tcW w:w="1506" w:type="dxa"/>
            <w:tcBorders>
              <w:top w:val="single" w:sz="4" w:space="0" w:color="auto"/>
              <w:left w:val="single" w:sz="4" w:space="0" w:color="auto"/>
              <w:bottom w:val="single" w:sz="4" w:space="0" w:color="auto"/>
              <w:right w:val="single" w:sz="4" w:space="0" w:color="auto"/>
            </w:tcBorders>
            <w:vAlign w:val="bottom"/>
          </w:tcPr>
          <w:p w14:paraId="37D36080"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24%</w:t>
            </w:r>
          </w:p>
        </w:tc>
        <w:tc>
          <w:tcPr>
            <w:tcW w:w="1557" w:type="dxa"/>
            <w:tcBorders>
              <w:top w:val="single" w:sz="4" w:space="0" w:color="auto"/>
              <w:left w:val="single" w:sz="4" w:space="0" w:color="auto"/>
              <w:bottom w:val="single" w:sz="4" w:space="0" w:color="auto"/>
              <w:right w:val="single" w:sz="4" w:space="0" w:color="auto"/>
            </w:tcBorders>
            <w:vAlign w:val="bottom"/>
          </w:tcPr>
          <w:p w14:paraId="4329E51E"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13%</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788D7"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b/>
                <w:bCs/>
                <w:color w:val="000000"/>
                <w:sz w:val="16"/>
                <w:szCs w:val="16"/>
              </w:rPr>
              <w:t>14%</w:t>
            </w:r>
          </w:p>
        </w:tc>
      </w:tr>
      <w:tr w:rsidR="001B14E5" w:rsidRPr="001B14E5" w14:paraId="3F663842" w14:textId="77777777" w:rsidTr="00F604F1">
        <w:trPr>
          <w:trHeight w:val="165"/>
          <w:jc w:val="center"/>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69664494" w14:textId="77777777" w:rsidR="001B14E5" w:rsidRPr="001B14E5" w:rsidRDefault="001B14E5" w:rsidP="00F604F1">
            <w:pPr>
              <w:spacing w:after="0" w:line="240" w:lineRule="auto"/>
              <w:rPr>
                <w:rFonts w:ascii="Cambria" w:eastAsia="Times New Roman" w:hAnsi="Cambria" w:cs="Calibri"/>
                <w:b/>
                <w:color w:val="000000"/>
                <w:sz w:val="16"/>
                <w:szCs w:val="16"/>
                <w:lang w:eastAsia="es-ES_tradnl"/>
              </w:rPr>
            </w:pPr>
            <w:r w:rsidRPr="001B14E5">
              <w:rPr>
                <w:rFonts w:ascii="Cambria" w:eastAsia="Times New Roman" w:hAnsi="Cambria" w:cs="Calibri"/>
                <w:b/>
                <w:color w:val="000000"/>
                <w:sz w:val="16"/>
                <w:szCs w:val="16"/>
                <w:lang w:eastAsia="es-ES_tradnl"/>
              </w:rPr>
              <w:t>Ues G9</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1361D1DD"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4%</w:t>
            </w:r>
          </w:p>
        </w:tc>
        <w:tc>
          <w:tcPr>
            <w:tcW w:w="1506" w:type="dxa"/>
            <w:tcBorders>
              <w:top w:val="single" w:sz="4" w:space="0" w:color="auto"/>
              <w:left w:val="single" w:sz="4" w:space="0" w:color="auto"/>
              <w:bottom w:val="single" w:sz="4" w:space="0" w:color="auto"/>
              <w:right w:val="single" w:sz="4" w:space="0" w:color="auto"/>
            </w:tcBorders>
            <w:vAlign w:val="bottom"/>
          </w:tcPr>
          <w:p w14:paraId="2ABCB493" w14:textId="77777777" w:rsidR="001B14E5" w:rsidRPr="001B14E5" w:rsidRDefault="001B14E5" w:rsidP="00F604F1">
            <w:pPr>
              <w:spacing w:after="0" w:line="240" w:lineRule="auto"/>
              <w:jc w:val="center"/>
              <w:rPr>
                <w:rFonts w:ascii="Cambria" w:eastAsia="Times New Roman" w:hAnsi="Cambria" w:cs="Calibri"/>
                <w:color w:val="000000"/>
                <w:sz w:val="16"/>
                <w:szCs w:val="16"/>
                <w:lang w:eastAsia="es-ES_tradnl"/>
              </w:rPr>
            </w:pPr>
            <w:r w:rsidRPr="001B14E5">
              <w:rPr>
                <w:rFonts w:ascii="Cambria" w:hAnsi="Cambria" w:cs="Calibri"/>
                <w:color w:val="000000"/>
                <w:sz w:val="16"/>
                <w:szCs w:val="16"/>
              </w:rPr>
              <w:t>22%</w:t>
            </w:r>
          </w:p>
        </w:tc>
        <w:tc>
          <w:tcPr>
            <w:tcW w:w="1508" w:type="dxa"/>
            <w:tcBorders>
              <w:top w:val="single" w:sz="4" w:space="0" w:color="auto"/>
              <w:left w:val="single" w:sz="4" w:space="0" w:color="auto"/>
              <w:bottom w:val="single" w:sz="4" w:space="0" w:color="auto"/>
              <w:right w:val="single" w:sz="4" w:space="0" w:color="auto"/>
            </w:tcBorders>
            <w:vAlign w:val="bottom"/>
          </w:tcPr>
          <w:p w14:paraId="2468221A"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4%</w:t>
            </w:r>
          </w:p>
        </w:tc>
        <w:tc>
          <w:tcPr>
            <w:tcW w:w="1506" w:type="dxa"/>
            <w:tcBorders>
              <w:top w:val="single" w:sz="4" w:space="0" w:color="auto"/>
              <w:left w:val="single" w:sz="4" w:space="0" w:color="auto"/>
              <w:bottom w:val="single" w:sz="4" w:space="0" w:color="auto"/>
              <w:right w:val="single" w:sz="4" w:space="0" w:color="auto"/>
            </w:tcBorders>
            <w:vAlign w:val="bottom"/>
          </w:tcPr>
          <w:p w14:paraId="49F109D9"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3%</w:t>
            </w:r>
          </w:p>
        </w:tc>
        <w:tc>
          <w:tcPr>
            <w:tcW w:w="1557" w:type="dxa"/>
            <w:tcBorders>
              <w:top w:val="single" w:sz="4" w:space="0" w:color="auto"/>
              <w:left w:val="single" w:sz="4" w:space="0" w:color="auto"/>
              <w:bottom w:val="single" w:sz="4" w:space="0" w:color="auto"/>
              <w:right w:val="single" w:sz="4" w:space="0" w:color="auto"/>
            </w:tcBorders>
            <w:vAlign w:val="bottom"/>
          </w:tcPr>
          <w:p w14:paraId="3F13B1D5"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hAnsi="Cambria" w:cs="Calibri"/>
                <w:color w:val="000000"/>
                <w:sz w:val="16"/>
                <w:szCs w:val="16"/>
              </w:rPr>
              <w:t>5%</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A16B6" w14:textId="77777777" w:rsidR="001B14E5" w:rsidRPr="001B14E5" w:rsidRDefault="001B14E5" w:rsidP="00F604F1">
            <w:pPr>
              <w:spacing w:after="0" w:line="240" w:lineRule="auto"/>
              <w:jc w:val="center"/>
              <w:rPr>
                <w:rFonts w:ascii="Cambria" w:eastAsia="Times New Roman" w:hAnsi="Cambria" w:cs="Calibri"/>
                <w:b/>
                <w:bCs/>
                <w:color w:val="000000"/>
                <w:sz w:val="16"/>
                <w:szCs w:val="16"/>
                <w:lang w:eastAsia="es-ES_tradnl"/>
              </w:rPr>
            </w:pPr>
            <w:r w:rsidRPr="001B14E5">
              <w:rPr>
                <w:rFonts w:ascii="Cambria" w:eastAsia="Times New Roman" w:hAnsi="Cambria" w:cs="Calibri"/>
                <w:b/>
                <w:bCs/>
                <w:color w:val="000000"/>
                <w:sz w:val="16"/>
                <w:szCs w:val="16"/>
                <w:lang w:eastAsia="es-ES_tradnl"/>
              </w:rPr>
              <w:t>21%</w:t>
            </w:r>
          </w:p>
        </w:tc>
      </w:tr>
    </w:tbl>
    <w:p w14:paraId="4F89046E" w14:textId="77777777" w:rsidR="001B14E5" w:rsidRDefault="001B14E5" w:rsidP="001B14E5">
      <w:pPr>
        <w:jc w:val="both"/>
        <w:rPr>
          <w:rFonts w:ascii="Cambria" w:hAnsi="Cambria"/>
          <w:sz w:val="24"/>
          <w:szCs w:val="24"/>
        </w:rPr>
      </w:pPr>
    </w:p>
    <w:p w14:paraId="08604FF2" w14:textId="77777777" w:rsidR="001B14E5" w:rsidRDefault="001B14E5" w:rsidP="001B14E5">
      <w:pPr>
        <w:jc w:val="both"/>
        <w:rPr>
          <w:rFonts w:ascii="Cambria" w:hAnsi="Cambria"/>
          <w:sz w:val="24"/>
          <w:szCs w:val="24"/>
        </w:rPr>
      </w:pPr>
    </w:p>
    <w:p w14:paraId="567BE29A" w14:textId="1FEBCDDE" w:rsidR="001B14E5" w:rsidRPr="001B14E5" w:rsidRDefault="001B14E5" w:rsidP="001B14E5">
      <w:pPr>
        <w:keepNext/>
        <w:spacing w:line="240" w:lineRule="auto"/>
        <w:jc w:val="center"/>
        <w:rPr>
          <w:rFonts w:ascii="Cambria" w:hAnsi="Cambria"/>
          <w:b/>
          <w:i/>
          <w:iCs/>
          <w:sz w:val="24"/>
          <w:szCs w:val="24"/>
          <w:lang w:val="es-ES"/>
        </w:rPr>
      </w:pPr>
      <w:r w:rsidRPr="001B14E5">
        <w:rPr>
          <w:rFonts w:ascii="Cambria" w:hAnsi="Cambria"/>
          <w:b/>
          <w:i/>
          <w:iCs/>
          <w:sz w:val="24"/>
          <w:szCs w:val="24"/>
          <w:lang w:val="es-ES"/>
        </w:rPr>
        <w:t xml:space="preserve">Tabla </w:t>
      </w:r>
      <w:r>
        <w:rPr>
          <w:rFonts w:ascii="Cambria" w:hAnsi="Cambria"/>
          <w:b/>
          <w:i/>
          <w:iCs/>
          <w:sz w:val="24"/>
          <w:szCs w:val="24"/>
          <w:lang w:val="es-ES"/>
        </w:rPr>
        <w:t>5</w:t>
      </w:r>
      <w:r w:rsidRPr="001B14E5">
        <w:rPr>
          <w:rFonts w:ascii="Cambria" w:hAnsi="Cambria"/>
          <w:b/>
          <w:i/>
          <w:iCs/>
          <w:sz w:val="24"/>
          <w:szCs w:val="24"/>
          <w:lang w:val="es-ES"/>
        </w:rPr>
        <w:t>: Gasto total por tipo de remuneración según las FECU 2020-2017 en miles de pesos 2021</w:t>
      </w:r>
    </w:p>
    <w:tbl>
      <w:tblPr>
        <w:tblStyle w:val="Tablanormal21"/>
        <w:tblW w:w="8398" w:type="dxa"/>
        <w:jc w:val="center"/>
        <w:tblLayout w:type="fixed"/>
        <w:tblLook w:val="04A0" w:firstRow="1" w:lastRow="0" w:firstColumn="1" w:lastColumn="0" w:noHBand="0" w:noVBand="1"/>
      </w:tblPr>
      <w:tblGrid>
        <w:gridCol w:w="1418"/>
        <w:gridCol w:w="1084"/>
        <w:gridCol w:w="1180"/>
        <w:gridCol w:w="1179"/>
        <w:gridCol w:w="1179"/>
        <w:gridCol w:w="1179"/>
        <w:gridCol w:w="1179"/>
      </w:tblGrid>
      <w:tr w:rsidR="001B14E5" w:rsidRPr="001B14E5" w14:paraId="79801921" w14:textId="77777777" w:rsidTr="00F604F1">
        <w:trPr>
          <w:cnfStyle w:val="100000000000" w:firstRow="1" w:lastRow="0" w:firstColumn="0" w:lastColumn="0" w:oddVBand="0" w:evenVBand="0" w:oddHBand="0"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9B10456" w14:textId="77777777" w:rsidR="001B14E5" w:rsidRPr="001B14E5" w:rsidRDefault="001B14E5" w:rsidP="00F604F1">
            <w:pPr>
              <w:jc w:val="center"/>
              <w:rPr>
                <w:rFonts w:ascii="Cambria" w:eastAsia="Times New Roman" w:hAnsi="Cambria" w:cs="Arial"/>
                <w:color w:val="000000"/>
                <w:sz w:val="15"/>
                <w:szCs w:val="18"/>
                <w:lang w:eastAsia="es-ES_tradnl"/>
              </w:rPr>
            </w:pPr>
            <w:r w:rsidRPr="001B14E5">
              <w:rPr>
                <w:rFonts w:ascii="Cambria" w:eastAsia="Calibri" w:hAnsi="Cambria" w:cs="Arial"/>
                <w:sz w:val="15"/>
                <w:szCs w:val="18"/>
              </w:rPr>
              <w:t>Tipo de remuneración</w:t>
            </w:r>
          </w:p>
        </w:tc>
        <w:tc>
          <w:tcPr>
            <w:tcW w:w="1084" w:type="dxa"/>
            <w:noWrap/>
            <w:hideMark/>
          </w:tcPr>
          <w:p w14:paraId="470041A4" w14:textId="77777777" w:rsidR="001B14E5" w:rsidRPr="001B14E5" w:rsidRDefault="001B14E5" w:rsidP="00F604F1">
            <w:pPr>
              <w:ind w:right="-110"/>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 xml:space="preserve">  Año</w:t>
            </w:r>
          </w:p>
        </w:tc>
        <w:tc>
          <w:tcPr>
            <w:tcW w:w="1180" w:type="dxa"/>
            <w:noWrap/>
            <w:hideMark/>
          </w:tcPr>
          <w:p w14:paraId="6FE307B8" w14:textId="77777777" w:rsidR="001B14E5" w:rsidRPr="001B14E5" w:rsidRDefault="001B14E5" w:rsidP="00F604F1">
            <w:pPr>
              <w:ind w:right="-171"/>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CFT</w:t>
            </w:r>
          </w:p>
        </w:tc>
        <w:tc>
          <w:tcPr>
            <w:tcW w:w="1179" w:type="dxa"/>
            <w:noWrap/>
            <w:hideMark/>
          </w:tcPr>
          <w:p w14:paraId="73AC0132" w14:textId="77777777" w:rsidR="001B14E5" w:rsidRPr="001B14E5" w:rsidRDefault="001B14E5" w:rsidP="00F604F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IP</w:t>
            </w:r>
          </w:p>
        </w:tc>
        <w:tc>
          <w:tcPr>
            <w:tcW w:w="1179" w:type="dxa"/>
            <w:noWrap/>
            <w:hideMark/>
          </w:tcPr>
          <w:p w14:paraId="28B6D5F9" w14:textId="77777777" w:rsidR="001B14E5" w:rsidRPr="001B14E5" w:rsidRDefault="001B14E5" w:rsidP="00F604F1">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sz w:val="15"/>
                <w:szCs w:val="18"/>
              </w:rPr>
            </w:pPr>
            <w:r w:rsidRPr="001B14E5">
              <w:rPr>
                <w:rFonts w:ascii="Cambria" w:eastAsia="Calibri" w:hAnsi="Cambria" w:cs="Arial"/>
                <w:sz w:val="15"/>
                <w:szCs w:val="18"/>
              </w:rPr>
              <w:t xml:space="preserve">Ues Estatales </w:t>
            </w:r>
          </w:p>
          <w:p w14:paraId="093B8036" w14:textId="77777777" w:rsidR="001B14E5" w:rsidRPr="001B14E5" w:rsidRDefault="001B14E5" w:rsidP="00F604F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Times New Roman" w:hAnsi="Cambria" w:cs="Arial"/>
                <w:color w:val="000000"/>
                <w:sz w:val="15"/>
                <w:szCs w:val="18"/>
                <w:lang w:eastAsia="es-ES_tradnl"/>
              </w:rPr>
              <w:t>sin Aysén y O'Higgins</w:t>
            </w:r>
          </w:p>
        </w:tc>
        <w:tc>
          <w:tcPr>
            <w:tcW w:w="1179" w:type="dxa"/>
            <w:noWrap/>
            <w:hideMark/>
          </w:tcPr>
          <w:p w14:paraId="4AB2476C" w14:textId="77777777" w:rsidR="001B14E5" w:rsidRPr="001B14E5" w:rsidRDefault="001B14E5" w:rsidP="00F604F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Ues Privadas</w:t>
            </w:r>
          </w:p>
        </w:tc>
        <w:tc>
          <w:tcPr>
            <w:tcW w:w="1179" w:type="dxa"/>
            <w:noWrap/>
            <w:hideMark/>
          </w:tcPr>
          <w:p w14:paraId="346ACFBB" w14:textId="77777777" w:rsidR="001B14E5" w:rsidRPr="001B14E5" w:rsidRDefault="001B14E5" w:rsidP="00F604F1">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Arial"/>
                <w:sz w:val="15"/>
                <w:szCs w:val="18"/>
              </w:rPr>
            </w:pPr>
            <w:r w:rsidRPr="001B14E5">
              <w:rPr>
                <w:rFonts w:ascii="Cambria" w:eastAsia="Calibri" w:hAnsi="Cambria" w:cs="Arial"/>
                <w:sz w:val="15"/>
                <w:szCs w:val="18"/>
              </w:rPr>
              <w:t xml:space="preserve">Ues Privadas </w:t>
            </w:r>
          </w:p>
          <w:p w14:paraId="00AFF614" w14:textId="77777777" w:rsidR="001B14E5" w:rsidRPr="001B14E5" w:rsidRDefault="001B14E5" w:rsidP="00F604F1">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CRUCH</w:t>
            </w:r>
          </w:p>
        </w:tc>
      </w:tr>
      <w:tr w:rsidR="001B14E5" w:rsidRPr="001B14E5" w14:paraId="77D8CCDA" w14:textId="77777777" w:rsidTr="00F604F1">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42510C36" w14:textId="77777777" w:rsidR="001B14E5" w:rsidRPr="001B14E5" w:rsidRDefault="001B14E5" w:rsidP="00F604F1">
            <w:pPr>
              <w:jc w:val="center"/>
              <w:rPr>
                <w:rFonts w:ascii="Cambria" w:eastAsia="Times New Roman" w:hAnsi="Cambria" w:cs="Arial"/>
                <w:bCs w:val="0"/>
                <w:color w:val="000000"/>
                <w:sz w:val="15"/>
                <w:szCs w:val="18"/>
                <w:lang w:eastAsia="es-ES_tradnl"/>
              </w:rPr>
            </w:pPr>
            <w:r w:rsidRPr="001B14E5">
              <w:rPr>
                <w:rFonts w:ascii="Cambria" w:eastAsia="Calibri" w:hAnsi="Cambria" w:cs="Arial"/>
                <w:bCs w:val="0"/>
                <w:sz w:val="15"/>
                <w:szCs w:val="18"/>
              </w:rPr>
              <w:t>Académicos</w:t>
            </w:r>
          </w:p>
          <w:p w14:paraId="3A4E5759"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6A79C21A"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2016</w:t>
            </w:r>
          </w:p>
        </w:tc>
        <w:tc>
          <w:tcPr>
            <w:tcW w:w="1180" w:type="dxa"/>
            <w:noWrap/>
            <w:vAlign w:val="bottom"/>
            <w:hideMark/>
          </w:tcPr>
          <w:p w14:paraId="5C18584E"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$29.670.853</w:t>
            </w:r>
          </w:p>
        </w:tc>
        <w:tc>
          <w:tcPr>
            <w:tcW w:w="1179" w:type="dxa"/>
            <w:noWrap/>
            <w:vAlign w:val="bottom"/>
            <w:hideMark/>
          </w:tcPr>
          <w:p w14:paraId="2D0081A7"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$116.546.663</w:t>
            </w:r>
          </w:p>
        </w:tc>
        <w:tc>
          <w:tcPr>
            <w:tcW w:w="1179" w:type="dxa"/>
            <w:noWrap/>
            <w:vAlign w:val="bottom"/>
            <w:hideMark/>
          </w:tcPr>
          <w:p w14:paraId="077AAAEE" w14:textId="77777777" w:rsidR="001B14E5" w:rsidRPr="001B14E5" w:rsidRDefault="001B14E5" w:rsidP="00F604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$368.880.620</w:t>
            </w:r>
          </w:p>
        </w:tc>
        <w:tc>
          <w:tcPr>
            <w:tcW w:w="1179" w:type="dxa"/>
            <w:noWrap/>
            <w:vAlign w:val="bottom"/>
          </w:tcPr>
          <w:p w14:paraId="07FC15FA"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$449.316.793</w:t>
            </w:r>
          </w:p>
        </w:tc>
        <w:tc>
          <w:tcPr>
            <w:tcW w:w="1179" w:type="dxa"/>
            <w:noWrap/>
            <w:vAlign w:val="bottom"/>
            <w:hideMark/>
          </w:tcPr>
          <w:p w14:paraId="6CE3BD0F"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$292.172.926</w:t>
            </w:r>
          </w:p>
        </w:tc>
      </w:tr>
      <w:tr w:rsidR="001B14E5" w:rsidRPr="001B14E5" w14:paraId="1C9106D1" w14:textId="77777777" w:rsidTr="00F604F1">
        <w:trPr>
          <w:trHeight w:val="161"/>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5337B052"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1A740DA3"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2019</w:t>
            </w:r>
          </w:p>
        </w:tc>
        <w:tc>
          <w:tcPr>
            <w:tcW w:w="1180" w:type="dxa"/>
            <w:noWrap/>
            <w:vAlign w:val="bottom"/>
            <w:hideMark/>
          </w:tcPr>
          <w:p w14:paraId="713BE381"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$27.066.230</w:t>
            </w:r>
          </w:p>
        </w:tc>
        <w:tc>
          <w:tcPr>
            <w:tcW w:w="1179" w:type="dxa"/>
            <w:noWrap/>
            <w:vAlign w:val="bottom"/>
            <w:hideMark/>
          </w:tcPr>
          <w:p w14:paraId="2193BC08"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$118.490.810</w:t>
            </w:r>
          </w:p>
        </w:tc>
        <w:tc>
          <w:tcPr>
            <w:tcW w:w="1179" w:type="dxa"/>
            <w:noWrap/>
            <w:vAlign w:val="bottom"/>
            <w:hideMark/>
          </w:tcPr>
          <w:p w14:paraId="3BA15599" w14:textId="77777777" w:rsidR="001B14E5" w:rsidRPr="001B14E5" w:rsidRDefault="001B14E5" w:rsidP="00F604F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$393.600.701</w:t>
            </w:r>
          </w:p>
        </w:tc>
        <w:tc>
          <w:tcPr>
            <w:tcW w:w="1179" w:type="dxa"/>
            <w:noWrap/>
            <w:vAlign w:val="bottom"/>
          </w:tcPr>
          <w:p w14:paraId="375DAE7E"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$439.372.621</w:t>
            </w:r>
          </w:p>
        </w:tc>
        <w:tc>
          <w:tcPr>
            <w:tcW w:w="1179" w:type="dxa"/>
            <w:noWrap/>
            <w:vAlign w:val="bottom"/>
            <w:hideMark/>
          </w:tcPr>
          <w:p w14:paraId="1FFBDE6F"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$304.808.968</w:t>
            </w:r>
          </w:p>
        </w:tc>
      </w:tr>
      <w:tr w:rsidR="001B14E5" w:rsidRPr="001B14E5" w14:paraId="70D2A5EF" w14:textId="77777777" w:rsidTr="00F604F1">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02BF4623" w14:textId="77777777" w:rsidR="001B14E5" w:rsidRPr="001B14E5" w:rsidRDefault="001B14E5" w:rsidP="00F604F1">
            <w:pPr>
              <w:jc w:val="center"/>
              <w:rPr>
                <w:rFonts w:ascii="Cambria" w:eastAsia="Times New Roman" w:hAnsi="Cambria" w:cs="Arial"/>
                <w:bCs w:val="0"/>
                <w:color w:val="000000"/>
                <w:sz w:val="15"/>
                <w:szCs w:val="18"/>
                <w:lang w:eastAsia="es-ES_tradnl"/>
              </w:rPr>
            </w:pPr>
            <w:r w:rsidRPr="001B14E5">
              <w:rPr>
                <w:rFonts w:ascii="Cambria" w:eastAsia="Calibri" w:hAnsi="Cambria" w:cs="Arial"/>
                <w:bCs w:val="0"/>
                <w:sz w:val="15"/>
                <w:szCs w:val="18"/>
              </w:rPr>
              <w:t>Directivos</w:t>
            </w:r>
          </w:p>
          <w:p w14:paraId="7EF267C1"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34835C6A"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2016</w:t>
            </w:r>
          </w:p>
        </w:tc>
        <w:tc>
          <w:tcPr>
            <w:tcW w:w="1180" w:type="dxa"/>
            <w:noWrap/>
            <w:vAlign w:val="bottom"/>
            <w:hideMark/>
          </w:tcPr>
          <w:p w14:paraId="2E7D1E4F"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$7.215.092</w:t>
            </w:r>
          </w:p>
        </w:tc>
        <w:tc>
          <w:tcPr>
            <w:tcW w:w="1179" w:type="dxa"/>
            <w:noWrap/>
            <w:vAlign w:val="bottom"/>
            <w:hideMark/>
          </w:tcPr>
          <w:p w14:paraId="11008156"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$19.725.855</w:t>
            </w:r>
          </w:p>
        </w:tc>
        <w:tc>
          <w:tcPr>
            <w:tcW w:w="1179" w:type="dxa"/>
            <w:noWrap/>
            <w:vAlign w:val="bottom"/>
            <w:hideMark/>
          </w:tcPr>
          <w:p w14:paraId="5B6E8267" w14:textId="77777777" w:rsidR="001B14E5" w:rsidRPr="001B14E5" w:rsidRDefault="001B14E5" w:rsidP="00F604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$40.223.596</w:t>
            </w:r>
          </w:p>
        </w:tc>
        <w:tc>
          <w:tcPr>
            <w:tcW w:w="1179" w:type="dxa"/>
            <w:noWrap/>
            <w:vAlign w:val="bottom"/>
            <w:hideMark/>
          </w:tcPr>
          <w:p w14:paraId="398D922B"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$69.192.193</w:t>
            </w:r>
          </w:p>
        </w:tc>
        <w:tc>
          <w:tcPr>
            <w:tcW w:w="1179" w:type="dxa"/>
            <w:noWrap/>
            <w:vAlign w:val="bottom"/>
            <w:hideMark/>
          </w:tcPr>
          <w:p w14:paraId="072D52EB"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$11.752.087</w:t>
            </w:r>
          </w:p>
        </w:tc>
      </w:tr>
      <w:tr w:rsidR="001B14E5" w:rsidRPr="001B14E5" w14:paraId="69B66605" w14:textId="77777777" w:rsidTr="00F604F1">
        <w:trPr>
          <w:trHeight w:val="161"/>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5C34B43D"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6CF37015"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2019</w:t>
            </w:r>
          </w:p>
        </w:tc>
        <w:tc>
          <w:tcPr>
            <w:tcW w:w="1180" w:type="dxa"/>
            <w:noWrap/>
            <w:vAlign w:val="bottom"/>
            <w:hideMark/>
          </w:tcPr>
          <w:p w14:paraId="521FD35C"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$5.442.338</w:t>
            </w:r>
          </w:p>
        </w:tc>
        <w:tc>
          <w:tcPr>
            <w:tcW w:w="1179" w:type="dxa"/>
            <w:noWrap/>
            <w:vAlign w:val="bottom"/>
            <w:hideMark/>
          </w:tcPr>
          <w:p w14:paraId="29FC4278"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$21.254.402</w:t>
            </w:r>
          </w:p>
        </w:tc>
        <w:tc>
          <w:tcPr>
            <w:tcW w:w="1179" w:type="dxa"/>
            <w:noWrap/>
            <w:vAlign w:val="bottom"/>
            <w:hideMark/>
          </w:tcPr>
          <w:p w14:paraId="4D8ECB76" w14:textId="77777777" w:rsidR="001B14E5" w:rsidRPr="001B14E5" w:rsidRDefault="001B14E5" w:rsidP="00F604F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$42.832.384</w:t>
            </w:r>
          </w:p>
        </w:tc>
        <w:tc>
          <w:tcPr>
            <w:tcW w:w="1179" w:type="dxa"/>
            <w:noWrap/>
            <w:vAlign w:val="bottom"/>
            <w:hideMark/>
          </w:tcPr>
          <w:p w14:paraId="7A204DD9"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$78.198.013</w:t>
            </w:r>
          </w:p>
        </w:tc>
        <w:tc>
          <w:tcPr>
            <w:tcW w:w="1179" w:type="dxa"/>
            <w:noWrap/>
            <w:vAlign w:val="bottom"/>
            <w:hideMark/>
          </w:tcPr>
          <w:p w14:paraId="445771D2"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$14.302.704</w:t>
            </w:r>
          </w:p>
        </w:tc>
      </w:tr>
      <w:tr w:rsidR="001B14E5" w:rsidRPr="001B14E5" w14:paraId="3FCEDB87" w14:textId="77777777" w:rsidTr="00F604F1">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1574BAC4" w14:textId="77777777" w:rsidR="001B14E5" w:rsidRPr="001B14E5" w:rsidRDefault="001B14E5" w:rsidP="00F604F1">
            <w:pPr>
              <w:jc w:val="center"/>
              <w:rPr>
                <w:rFonts w:ascii="Cambria" w:eastAsia="Times New Roman" w:hAnsi="Cambria" w:cs="Arial"/>
                <w:bCs w:val="0"/>
                <w:color w:val="000000"/>
                <w:sz w:val="15"/>
                <w:szCs w:val="18"/>
                <w:lang w:eastAsia="es-ES_tradnl"/>
              </w:rPr>
            </w:pPr>
            <w:r w:rsidRPr="001B14E5">
              <w:rPr>
                <w:rFonts w:ascii="Cambria" w:eastAsia="Calibri" w:hAnsi="Cambria" w:cs="Arial"/>
                <w:bCs w:val="0"/>
                <w:sz w:val="15"/>
                <w:szCs w:val="18"/>
              </w:rPr>
              <w:t>Administrativos</w:t>
            </w:r>
          </w:p>
          <w:p w14:paraId="3A2DA8BA"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04AEB1E7"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2016</w:t>
            </w:r>
          </w:p>
        </w:tc>
        <w:tc>
          <w:tcPr>
            <w:tcW w:w="1180" w:type="dxa"/>
            <w:noWrap/>
            <w:vAlign w:val="bottom"/>
            <w:hideMark/>
          </w:tcPr>
          <w:p w14:paraId="3CEBA596"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$17.467.529</w:t>
            </w:r>
          </w:p>
        </w:tc>
        <w:tc>
          <w:tcPr>
            <w:tcW w:w="1179" w:type="dxa"/>
            <w:noWrap/>
            <w:vAlign w:val="bottom"/>
            <w:hideMark/>
          </w:tcPr>
          <w:p w14:paraId="373C4DF3"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$76.174.458</w:t>
            </w:r>
          </w:p>
        </w:tc>
        <w:tc>
          <w:tcPr>
            <w:tcW w:w="1179" w:type="dxa"/>
            <w:noWrap/>
            <w:vAlign w:val="bottom"/>
            <w:hideMark/>
          </w:tcPr>
          <w:p w14:paraId="1F8730AE" w14:textId="77777777" w:rsidR="001B14E5" w:rsidRPr="001B14E5" w:rsidRDefault="001B14E5" w:rsidP="00F604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$280.627.691</w:t>
            </w:r>
          </w:p>
        </w:tc>
        <w:tc>
          <w:tcPr>
            <w:tcW w:w="1179" w:type="dxa"/>
            <w:noWrap/>
            <w:vAlign w:val="bottom"/>
            <w:hideMark/>
          </w:tcPr>
          <w:p w14:paraId="20634F0A"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$222.136.742</w:t>
            </w:r>
          </w:p>
        </w:tc>
        <w:tc>
          <w:tcPr>
            <w:tcW w:w="1179" w:type="dxa"/>
            <w:noWrap/>
            <w:vAlign w:val="bottom"/>
            <w:hideMark/>
          </w:tcPr>
          <w:p w14:paraId="1CDC0595"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$265.935.995</w:t>
            </w:r>
          </w:p>
        </w:tc>
      </w:tr>
      <w:tr w:rsidR="001B14E5" w:rsidRPr="001B14E5" w14:paraId="658C282A" w14:textId="77777777" w:rsidTr="00F604F1">
        <w:trPr>
          <w:trHeight w:val="161"/>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7DC89EEF"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14862F50"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2019</w:t>
            </w:r>
          </w:p>
        </w:tc>
        <w:tc>
          <w:tcPr>
            <w:tcW w:w="1180" w:type="dxa"/>
            <w:noWrap/>
            <w:vAlign w:val="bottom"/>
            <w:hideMark/>
          </w:tcPr>
          <w:p w14:paraId="7AD1C688"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$17.526.006</w:t>
            </w:r>
          </w:p>
        </w:tc>
        <w:tc>
          <w:tcPr>
            <w:tcW w:w="1179" w:type="dxa"/>
            <w:noWrap/>
            <w:vAlign w:val="bottom"/>
            <w:hideMark/>
          </w:tcPr>
          <w:p w14:paraId="5CBA51A1"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$76.593.527</w:t>
            </w:r>
          </w:p>
        </w:tc>
        <w:tc>
          <w:tcPr>
            <w:tcW w:w="1179" w:type="dxa"/>
            <w:noWrap/>
            <w:vAlign w:val="bottom"/>
            <w:hideMark/>
          </w:tcPr>
          <w:p w14:paraId="72DA8200" w14:textId="77777777" w:rsidR="001B14E5" w:rsidRPr="001B14E5" w:rsidRDefault="001B14E5" w:rsidP="00F604F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$323.321.882</w:t>
            </w:r>
          </w:p>
        </w:tc>
        <w:tc>
          <w:tcPr>
            <w:tcW w:w="1179" w:type="dxa"/>
            <w:noWrap/>
            <w:vAlign w:val="bottom"/>
            <w:hideMark/>
          </w:tcPr>
          <w:p w14:paraId="43BA2526"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$198.483.369</w:t>
            </w:r>
          </w:p>
        </w:tc>
        <w:tc>
          <w:tcPr>
            <w:tcW w:w="1179" w:type="dxa"/>
            <w:noWrap/>
            <w:vAlign w:val="bottom"/>
            <w:hideMark/>
          </w:tcPr>
          <w:p w14:paraId="572FF30D"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$277.562.928</w:t>
            </w:r>
          </w:p>
        </w:tc>
      </w:tr>
      <w:tr w:rsidR="001B14E5" w:rsidRPr="001B14E5" w14:paraId="076E08BB" w14:textId="77777777" w:rsidTr="00F604F1">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4CEDC96B" w14:textId="77777777" w:rsidR="001B14E5" w:rsidRPr="001B14E5" w:rsidRDefault="001B14E5" w:rsidP="00F604F1">
            <w:pPr>
              <w:jc w:val="center"/>
              <w:rPr>
                <w:rFonts w:ascii="Cambria" w:eastAsia="Times New Roman" w:hAnsi="Cambria" w:cs="Arial"/>
                <w:bCs w:val="0"/>
                <w:color w:val="000000"/>
                <w:sz w:val="15"/>
                <w:szCs w:val="18"/>
                <w:lang w:eastAsia="es-ES_tradnl"/>
              </w:rPr>
            </w:pPr>
            <w:r w:rsidRPr="001B14E5">
              <w:rPr>
                <w:rFonts w:ascii="Cambria" w:eastAsia="Calibri" w:hAnsi="Cambria" w:cs="Arial"/>
                <w:bCs w:val="0"/>
                <w:sz w:val="15"/>
                <w:szCs w:val="18"/>
              </w:rPr>
              <w:t>Otras Remuneraciones</w:t>
            </w:r>
          </w:p>
          <w:p w14:paraId="5954F8DE" w14:textId="77777777" w:rsidR="001B14E5" w:rsidRPr="001B14E5" w:rsidRDefault="001B14E5" w:rsidP="00F604F1">
            <w:pPr>
              <w:jc w:val="center"/>
              <w:rPr>
                <w:rFonts w:ascii="Cambria" w:eastAsia="Times New Roman" w:hAnsi="Cambria" w:cs="Arial"/>
                <w:bCs w:val="0"/>
                <w:color w:val="000000"/>
                <w:sz w:val="15"/>
                <w:szCs w:val="18"/>
                <w:lang w:eastAsia="es-ES_tradnl"/>
              </w:rPr>
            </w:pPr>
          </w:p>
        </w:tc>
        <w:tc>
          <w:tcPr>
            <w:tcW w:w="1084" w:type="dxa"/>
            <w:noWrap/>
            <w:hideMark/>
          </w:tcPr>
          <w:p w14:paraId="2BDC452D"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2016</w:t>
            </w:r>
          </w:p>
        </w:tc>
        <w:tc>
          <w:tcPr>
            <w:tcW w:w="1180" w:type="dxa"/>
            <w:noWrap/>
            <w:vAlign w:val="bottom"/>
            <w:hideMark/>
          </w:tcPr>
          <w:p w14:paraId="3C5691BC"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$5.036.130</w:t>
            </w:r>
          </w:p>
        </w:tc>
        <w:tc>
          <w:tcPr>
            <w:tcW w:w="1179" w:type="dxa"/>
            <w:noWrap/>
            <w:vAlign w:val="bottom"/>
            <w:hideMark/>
          </w:tcPr>
          <w:p w14:paraId="6021B096"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$24.830.731</w:t>
            </w:r>
          </w:p>
        </w:tc>
        <w:tc>
          <w:tcPr>
            <w:tcW w:w="1179" w:type="dxa"/>
            <w:noWrap/>
            <w:vAlign w:val="bottom"/>
            <w:hideMark/>
          </w:tcPr>
          <w:p w14:paraId="07805BCA" w14:textId="77777777" w:rsidR="001B14E5" w:rsidRPr="001B14E5" w:rsidRDefault="001B14E5" w:rsidP="00F604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$93.693.100</w:t>
            </w:r>
          </w:p>
        </w:tc>
        <w:tc>
          <w:tcPr>
            <w:tcW w:w="1179" w:type="dxa"/>
            <w:noWrap/>
            <w:vAlign w:val="bottom"/>
          </w:tcPr>
          <w:p w14:paraId="624DFA12"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$71.317.947</w:t>
            </w:r>
          </w:p>
        </w:tc>
        <w:tc>
          <w:tcPr>
            <w:tcW w:w="1179" w:type="dxa"/>
            <w:noWrap/>
            <w:vAlign w:val="bottom"/>
            <w:hideMark/>
          </w:tcPr>
          <w:p w14:paraId="647F6C63"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$73.067.150</w:t>
            </w:r>
          </w:p>
        </w:tc>
      </w:tr>
      <w:tr w:rsidR="001B14E5" w:rsidRPr="001B14E5" w14:paraId="01D25F18" w14:textId="77777777" w:rsidTr="00F604F1">
        <w:trPr>
          <w:trHeight w:val="161"/>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23519D97" w14:textId="77777777" w:rsidR="001B14E5" w:rsidRPr="001B14E5" w:rsidRDefault="001B14E5" w:rsidP="00F604F1">
            <w:pPr>
              <w:jc w:val="center"/>
              <w:rPr>
                <w:rFonts w:ascii="Cambria" w:eastAsia="Times New Roman" w:hAnsi="Cambria" w:cs="Arial"/>
                <w:color w:val="000000"/>
                <w:sz w:val="15"/>
                <w:szCs w:val="18"/>
                <w:lang w:eastAsia="es-ES_tradnl"/>
              </w:rPr>
            </w:pPr>
          </w:p>
        </w:tc>
        <w:tc>
          <w:tcPr>
            <w:tcW w:w="1084" w:type="dxa"/>
            <w:noWrap/>
            <w:hideMark/>
          </w:tcPr>
          <w:p w14:paraId="0D17716A"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eastAsia="Calibri" w:hAnsi="Cambria" w:cs="Arial"/>
                <w:sz w:val="15"/>
                <w:szCs w:val="18"/>
              </w:rPr>
              <w:t>2019</w:t>
            </w:r>
          </w:p>
        </w:tc>
        <w:tc>
          <w:tcPr>
            <w:tcW w:w="1180" w:type="dxa"/>
            <w:noWrap/>
            <w:vAlign w:val="bottom"/>
            <w:hideMark/>
          </w:tcPr>
          <w:p w14:paraId="5766B4E4"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$4.735.976</w:t>
            </w:r>
          </w:p>
        </w:tc>
        <w:tc>
          <w:tcPr>
            <w:tcW w:w="1179" w:type="dxa"/>
            <w:noWrap/>
            <w:vAlign w:val="bottom"/>
            <w:hideMark/>
          </w:tcPr>
          <w:p w14:paraId="1A367050"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$29.538.546</w:t>
            </w:r>
          </w:p>
        </w:tc>
        <w:tc>
          <w:tcPr>
            <w:tcW w:w="1179" w:type="dxa"/>
            <w:noWrap/>
            <w:vAlign w:val="bottom"/>
            <w:hideMark/>
          </w:tcPr>
          <w:p w14:paraId="357F6C9A" w14:textId="77777777" w:rsidR="001B14E5" w:rsidRPr="001B14E5" w:rsidRDefault="001B14E5" w:rsidP="00F604F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$115.833.159</w:t>
            </w:r>
          </w:p>
        </w:tc>
        <w:tc>
          <w:tcPr>
            <w:tcW w:w="1179" w:type="dxa"/>
            <w:noWrap/>
            <w:vAlign w:val="bottom"/>
          </w:tcPr>
          <w:p w14:paraId="74762AFB"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$88.923.269</w:t>
            </w:r>
          </w:p>
        </w:tc>
        <w:tc>
          <w:tcPr>
            <w:tcW w:w="1179" w:type="dxa"/>
            <w:noWrap/>
            <w:vAlign w:val="bottom"/>
            <w:hideMark/>
          </w:tcPr>
          <w:p w14:paraId="745BD39F"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color w:val="000000"/>
                <w:sz w:val="15"/>
                <w:szCs w:val="18"/>
                <w:lang w:eastAsia="es-ES_tradnl"/>
              </w:rPr>
            </w:pPr>
            <w:r w:rsidRPr="001B14E5">
              <w:rPr>
                <w:rFonts w:ascii="Cambria" w:hAnsi="Cambria" w:cs="Calibri"/>
                <w:color w:val="000000"/>
                <w:sz w:val="15"/>
                <w:szCs w:val="18"/>
              </w:rPr>
              <w:t>$75.448.566</w:t>
            </w:r>
          </w:p>
        </w:tc>
      </w:tr>
      <w:tr w:rsidR="001B14E5" w:rsidRPr="001B14E5" w14:paraId="66193EB4" w14:textId="77777777" w:rsidTr="00F604F1">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noWrap/>
            <w:hideMark/>
          </w:tcPr>
          <w:p w14:paraId="7E96D795" w14:textId="77777777" w:rsidR="001B14E5" w:rsidRPr="001B14E5" w:rsidRDefault="001B14E5" w:rsidP="00F604F1">
            <w:pPr>
              <w:jc w:val="center"/>
              <w:rPr>
                <w:rFonts w:ascii="Cambria" w:eastAsia="Times New Roman" w:hAnsi="Cambria" w:cs="Arial"/>
                <w:color w:val="000000"/>
                <w:sz w:val="15"/>
                <w:szCs w:val="18"/>
                <w:lang w:eastAsia="es-ES_tradnl"/>
              </w:rPr>
            </w:pPr>
            <w:r w:rsidRPr="001B14E5">
              <w:rPr>
                <w:rFonts w:ascii="Cambria" w:eastAsia="Calibri" w:hAnsi="Cambria" w:cs="Arial"/>
                <w:sz w:val="15"/>
                <w:szCs w:val="18"/>
              </w:rPr>
              <w:t>Total de remuneraciones</w:t>
            </w:r>
          </w:p>
          <w:p w14:paraId="7BD9745A" w14:textId="77777777" w:rsidR="001B14E5" w:rsidRPr="001B14E5" w:rsidRDefault="001B14E5" w:rsidP="00F604F1">
            <w:pPr>
              <w:jc w:val="center"/>
              <w:rPr>
                <w:rFonts w:ascii="Cambria" w:eastAsia="Times New Roman" w:hAnsi="Cambria" w:cs="Arial"/>
                <w:color w:val="000000"/>
                <w:sz w:val="15"/>
                <w:szCs w:val="18"/>
                <w:lang w:eastAsia="es-ES_tradnl"/>
              </w:rPr>
            </w:pPr>
          </w:p>
        </w:tc>
        <w:tc>
          <w:tcPr>
            <w:tcW w:w="1084" w:type="dxa"/>
            <w:noWrap/>
            <w:hideMark/>
          </w:tcPr>
          <w:p w14:paraId="60518FF6"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eastAsia="Calibri" w:hAnsi="Cambria" w:cs="Arial"/>
                <w:b/>
                <w:bCs/>
                <w:sz w:val="15"/>
                <w:szCs w:val="18"/>
              </w:rPr>
              <w:t>2016</w:t>
            </w:r>
          </w:p>
        </w:tc>
        <w:tc>
          <w:tcPr>
            <w:tcW w:w="1180" w:type="dxa"/>
            <w:noWrap/>
            <w:vAlign w:val="bottom"/>
            <w:hideMark/>
          </w:tcPr>
          <w:p w14:paraId="340CC688"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$59.389.616</w:t>
            </w:r>
          </w:p>
        </w:tc>
        <w:tc>
          <w:tcPr>
            <w:tcW w:w="1179" w:type="dxa"/>
            <w:noWrap/>
            <w:vAlign w:val="bottom"/>
            <w:hideMark/>
          </w:tcPr>
          <w:p w14:paraId="6929140A"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$237.277.724</w:t>
            </w:r>
          </w:p>
        </w:tc>
        <w:tc>
          <w:tcPr>
            <w:tcW w:w="1179" w:type="dxa"/>
            <w:noWrap/>
            <w:vAlign w:val="bottom"/>
            <w:hideMark/>
          </w:tcPr>
          <w:p w14:paraId="67F2AC28" w14:textId="77777777" w:rsidR="001B14E5" w:rsidRPr="001B14E5" w:rsidRDefault="001B14E5" w:rsidP="00F604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$783.425.015</w:t>
            </w:r>
          </w:p>
        </w:tc>
        <w:tc>
          <w:tcPr>
            <w:tcW w:w="1179" w:type="dxa"/>
            <w:noWrap/>
            <w:vAlign w:val="bottom"/>
          </w:tcPr>
          <w:p w14:paraId="63C36347"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$811.963.703</w:t>
            </w:r>
          </w:p>
        </w:tc>
        <w:tc>
          <w:tcPr>
            <w:tcW w:w="1179" w:type="dxa"/>
            <w:noWrap/>
            <w:vAlign w:val="bottom"/>
            <w:hideMark/>
          </w:tcPr>
          <w:p w14:paraId="59C49872" w14:textId="77777777" w:rsidR="001B14E5" w:rsidRPr="001B14E5" w:rsidRDefault="001B14E5" w:rsidP="00F604F1">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$642.928.168</w:t>
            </w:r>
          </w:p>
        </w:tc>
      </w:tr>
      <w:tr w:rsidR="001B14E5" w:rsidRPr="001B14E5" w14:paraId="42998014" w14:textId="77777777" w:rsidTr="00F604F1">
        <w:trPr>
          <w:trHeight w:val="161"/>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718771CE" w14:textId="77777777" w:rsidR="001B14E5" w:rsidRPr="001B14E5" w:rsidRDefault="001B14E5" w:rsidP="00F604F1">
            <w:pPr>
              <w:rPr>
                <w:rFonts w:ascii="Cambria" w:eastAsia="Times New Roman" w:hAnsi="Cambria" w:cs="Arial"/>
                <w:color w:val="000000"/>
                <w:sz w:val="15"/>
                <w:szCs w:val="18"/>
                <w:lang w:eastAsia="es-ES_tradnl"/>
              </w:rPr>
            </w:pPr>
          </w:p>
        </w:tc>
        <w:tc>
          <w:tcPr>
            <w:tcW w:w="1084" w:type="dxa"/>
            <w:noWrap/>
            <w:hideMark/>
          </w:tcPr>
          <w:p w14:paraId="7425D3AF"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eastAsia="Calibri" w:hAnsi="Cambria" w:cs="Arial"/>
                <w:b/>
                <w:bCs/>
                <w:sz w:val="15"/>
                <w:szCs w:val="18"/>
              </w:rPr>
              <w:t>2019</w:t>
            </w:r>
          </w:p>
        </w:tc>
        <w:tc>
          <w:tcPr>
            <w:tcW w:w="1180" w:type="dxa"/>
            <w:noWrap/>
            <w:vAlign w:val="bottom"/>
            <w:hideMark/>
          </w:tcPr>
          <w:p w14:paraId="6A36D77C"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$54.770.550</w:t>
            </w:r>
          </w:p>
        </w:tc>
        <w:tc>
          <w:tcPr>
            <w:tcW w:w="1179" w:type="dxa"/>
            <w:noWrap/>
            <w:vAlign w:val="bottom"/>
            <w:hideMark/>
          </w:tcPr>
          <w:p w14:paraId="54F59413"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$245.877.285</w:t>
            </w:r>
          </w:p>
        </w:tc>
        <w:tc>
          <w:tcPr>
            <w:tcW w:w="1179" w:type="dxa"/>
            <w:noWrap/>
            <w:vAlign w:val="bottom"/>
            <w:hideMark/>
          </w:tcPr>
          <w:p w14:paraId="6C3E898C" w14:textId="77777777" w:rsidR="001B14E5" w:rsidRPr="001B14E5" w:rsidRDefault="001B14E5" w:rsidP="00F604F1">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$885.015.764</w:t>
            </w:r>
          </w:p>
        </w:tc>
        <w:tc>
          <w:tcPr>
            <w:tcW w:w="1179" w:type="dxa"/>
            <w:noWrap/>
            <w:vAlign w:val="bottom"/>
          </w:tcPr>
          <w:p w14:paraId="362FA83C"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$804.977.273</w:t>
            </w:r>
          </w:p>
        </w:tc>
        <w:tc>
          <w:tcPr>
            <w:tcW w:w="1179" w:type="dxa"/>
            <w:noWrap/>
            <w:vAlign w:val="bottom"/>
            <w:hideMark/>
          </w:tcPr>
          <w:p w14:paraId="5D55E0AF" w14:textId="77777777" w:rsidR="001B14E5" w:rsidRPr="001B14E5" w:rsidRDefault="001B14E5" w:rsidP="00F604F1">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sz w:val="15"/>
                <w:szCs w:val="18"/>
                <w:lang w:eastAsia="es-ES_tradnl"/>
              </w:rPr>
            </w:pPr>
            <w:r w:rsidRPr="001B14E5">
              <w:rPr>
                <w:rFonts w:ascii="Cambria" w:hAnsi="Cambria" w:cs="Calibri"/>
                <w:color w:val="000000"/>
                <w:sz w:val="15"/>
                <w:szCs w:val="18"/>
              </w:rPr>
              <w:t>$672.123.166</w:t>
            </w:r>
          </w:p>
        </w:tc>
      </w:tr>
    </w:tbl>
    <w:p w14:paraId="15D34554" w14:textId="77777777" w:rsidR="001B14E5" w:rsidRPr="001B14E5" w:rsidRDefault="001B14E5" w:rsidP="001B14E5">
      <w:pPr>
        <w:jc w:val="both"/>
        <w:rPr>
          <w:rFonts w:ascii="Cambria" w:hAnsi="Cambria"/>
          <w:sz w:val="20"/>
        </w:rPr>
      </w:pPr>
    </w:p>
    <w:sectPr w:rsidR="001B14E5" w:rsidRPr="001B14E5" w:rsidSect="001B14E5">
      <w:pgSz w:w="12242" w:h="18722" w:code="28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967E" w14:textId="77777777" w:rsidR="00E9789E" w:rsidRDefault="00E9789E" w:rsidP="00B80E92">
      <w:pPr>
        <w:spacing w:after="0" w:line="240" w:lineRule="auto"/>
      </w:pPr>
      <w:r>
        <w:separator/>
      </w:r>
    </w:p>
  </w:endnote>
  <w:endnote w:type="continuationSeparator" w:id="0">
    <w:p w14:paraId="152BBAB7" w14:textId="77777777" w:rsidR="00E9789E" w:rsidRDefault="00E9789E" w:rsidP="00B8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A6A83" w14:textId="77777777" w:rsidR="00E9789E" w:rsidRDefault="00E9789E" w:rsidP="00B80E92">
      <w:pPr>
        <w:spacing w:after="0" w:line="240" w:lineRule="auto"/>
      </w:pPr>
      <w:r>
        <w:separator/>
      </w:r>
    </w:p>
  </w:footnote>
  <w:footnote w:type="continuationSeparator" w:id="0">
    <w:p w14:paraId="3DAF8D8A" w14:textId="77777777" w:rsidR="00E9789E" w:rsidRDefault="00E9789E" w:rsidP="00B80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2773"/>
    <w:multiLevelType w:val="hybridMultilevel"/>
    <w:tmpl w:val="C3EE170E"/>
    <w:lvl w:ilvl="0" w:tplc="A41E7EAA">
      <w:start w:val="1"/>
      <w:numFmt w:val="decimalZero"/>
      <w:lvlText w:val="%1"/>
      <w:lvlJc w:val="left"/>
      <w:pPr>
        <w:ind w:left="2170" w:hanging="1320"/>
      </w:pPr>
      <w:rPr>
        <w:rFonts w:hint="default"/>
      </w:rPr>
    </w:lvl>
    <w:lvl w:ilvl="1" w:tplc="0C0A0019" w:tentative="1">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abstractNum w:abstractNumId="1" w15:restartNumberingAfterBreak="0">
    <w:nsid w:val="089206FE"/>
    <w:multiLevelType w:val="hybridMultilevel"/>
    <w:tmpl w:val="ED16EA1C"/>
    <w:lvl w:ilvl="0" w:tplc="DE84198C">
      <w:start w:val="1"/>
      <w:numFmt w:val="bullet"/>
      <w:lvlText w:val="•"/>
      <w:lvlJc w:val="left"/>
      <w:pPr>
        <w:tabs>
          <w:tab w:val="num" w:pos="720"/>
        </w:tabs>
        <w:ind w:left="720" w:hanging="360"/>
      </w:pPr>
      <w:rPr>
        <w:rFonts w:ascii="Arial" w:hAnsi="Arial" w:hint="default"/>
      </w:rPr>
    </w:lvl>
    <w:lvl w:ilvl="1" w:tplc="76BC6878" w:tentative="1">
      <w:start w:val="1"/>
      <w:numFmt w:val="bullet"/>
      <w:lvlText w:val="•"/>
      <w:lvlJc w:val="left"/>
      <w:pPr>
        <w:tabs>
          <w:tab w:val="num" w:pos="1440"/>
        </w:tabs>
        <w:ind w:left="1440" w:hanging="360"/>
      </w:pPr>
      <w:rPr>
        <w:rFonts w:ascii="Arial" w:hAnsi="Arial" w:hint="default"/>
      </w:rPr>
    </w:lvl>
    <w:lvl w:ilvl="2" w:tplc="4BFC5F84" w:tentative="1">
      <w:start w:val="1"/>
      <w:numFmt w:val="bullet"/>
      <w:lvlText w:val="•"/>
      <w:lvlJc w:val="left"/>
      <w:pPr>
        <w:tabs>
          <w:tab w:val="num" w:pos="2160"/>
        </w:tabs>
        <w:ind w:left="2160" w:hanging="360"/>
      </w:pPr>
      <w:rPr>
        <w:rFonts w:ascii="Arial" w:hAnsi="Arial" w:hint="default"/>
      </w:rPr>
    </w:lvl>
    <w:lvl w:ilvl="3" w:tplc="E71002EA" w:tentative="1">
      <w:start w:val="1"/>
      <w:numFmt w:val="bullet"/>
      <w:lvlText w:val="•"/>
      <w:lvlJc w:val="left"/>
      <w:pPr>
        <w:tabs>
          <w:tab w:val="num" w:pos="2880"/>
        </w:tabs>
        <w:ind w:left="2880" w:hanging="360"/>
      </w:pPr>
      <w:rPr>
        <w:rFonts w:ascii="Arial" w:hAnsi="Arial" w:hint="default"/>
      </w:rPr>
    </w:lvl>
    <w:lvl w:ilvl="4" w:tplc="3AD6B540" w:tentative="1">
      <w:start w:val="1"/>
      <w:numFmt w:val="bullet"/>
      <w:lvlText w:val="•"/>
      <w:lvlJc w:val="left"/>
      <w:pPr>
        <w:tabs>
          <w:tab w:val="num" w:pos="3600"/>
        </w:tabs>
        <w:ind w:left="3600" w:hanging="360"/>
      </w:pPr>
      <w:rPr>
        <w:rFonts w:ascii="Arial" w:hAnsi="Arial" w:hint="default"/>
      </w:rPr>
    </w:lvl>
    <w:lvl w:ilvl="5" w:tplc="E8A8FFFA" w:tentative="1">
      <w:start w:val="1"/>
      <w:numFmt w:val="bullet"/>
      <w:lvlText w:val="•"/>
      <w:lvlJc w:val="left"/>
      <w:pPr>
        <w:tabs>
          <w:tab w:val="num" w:pos="4320"/>
        </w:tabs>
        <w:ind w:left="4320" w:hanging="360"/>
      </w:pPr>
      <w:rPr>
        <w:rFonts w:ascii="Arial" w:hAnsi="Arial" w:hint="default"/>
      </w:rPr>
    </w:lvl>
    <w:lvl w:ilvl="6" w:tplc="E8583450" w:tentative="1">
      <w:start w:val="1"/>
      <w:numFmt w:val="bullet"/>
      <w:lvlText w:val="•"/>
      <w:lvlJc w:val="left"/>
      <w:pPr>
        <w:tabs>
          <w:tab w:val="num" w:pos="5040"/>
        </w:tabs>
        <w:ind w:left="5040" w:hanging="360"/>
      </w:pPr>
      <w:rPr>
        <w:rFonts w:ascii="Arial" w:hAnsi="Arial" w:hint="default"/>
      </w:rPr>
    </w:lvl>
    <w:lvl w:ilvl="7" w:tplc="37BED85C" w:tentative="1">
      <w:start w:val="1"/>
      <w:numFmt w:val="bullet"/>
      <w:lvlText w:val="•"/>
      <w:lvlJc w:val="left"/>
      <w:pPr>
        <w:tabs>
          <w:tab w:val="num" w:pos="5760"/>
        </w:tabs>
        <w:ind w:left="5760" w:hanging="360"/>
      </w:pPr>
      <w:rPr>
        <w:rFonts w:ascii="Arial" w:hAnsi="Arial" w:hint="default"/>
      </w:rPr>
    </w:lvl>
    <w:lvl w:ilvl="8" w:tplc="D172C0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D4620"/>
    <w:multiLevelType w:val="hybridMultilevel"/>
    <w:tmpl w:val="1548B810"/>
    <w:lvl w:ilvl="0" w:tplc="C84224AA">
      <w:start w:val="1"/>
      <w:numFmt w:val="bullet"/>
      <w:lvlText w:val="•"/>
      <w:lvlJc w:val="left"/>
      <w:pPr>
        <w:tabs>
          <w:tab w:val="num" w:pos="720"/>
        </w:tabs>
        <w:ind w:left="720" w:hanging="360"/>
      </w:pPr>
      <w:rPr>
        <w:rFonts w:ascii="Arial" w:hAnsi="Arial" w:hint="default"/>
      </w:rPr>
    </w:lvl>
    <w:lvl w:ilvl="1" w:tplc="0ACC782E" w:tentative="1">
      <w:start w:val="1"/>
      <w:numFmt w:val="bullet"/>
      <w:lvlText w:val="•"/>
      <w:lvlJc w:val="left"/>
      <w:pPr>
        <w:tabs>
          <w:tab w:val="num" w:pos="1440"/>
        </w:tabs>
        <w:ind w:left="1440" w:hanging="360"/>
      </w:pPr>
      <w:rPr>
        <w:rFonts w:ascii="Arial" w:hAnsi="Arial" w:hint="default"/>
      </w:rPr>
    </w:lvl>
    <w:lvl w:ilvl="2" w:tplc="1D268EE8" w:tentative="1">
      <w:start w:val="1"/>
      <w:numFmt w:val="bullet"/>
      <w:lvlText w:val="•"/>
      <w:lvlJc w:val="left"/>
      <w:pPr>
        <w:tabs>
          <w:tab w:val="num" w:pos="2160"/>
        </w:tabs>
        <w:ind w:left="2160" w:hanging="360"/>
      </w:pPr>
      <w:rPr>
        <w:rFonts w:ascii="Arial" w:hAnsi="Arial" w:hint="default"/>
      </w:rPr>
    </w:lvl>
    <w:lvl w:ilvl="3" w:tplc="F364F160" w:tentative="1">
      <w:start w:val="1"/>
      <w:numFmt w:val="bullet"/>
      <w:lvlText w:val="•"/>
      <w:lvlJc w:val="left"/>
      <w:pPr>
        <w:tabs>
          <w:tab w:val="num" w:pos="2880"/>
        </w:tabs>
        <w:ind w:left="2880" w:hanging="360"/>
      </w:pPr>
      <w:rPr>
        <w:rFonts w:ascii="Arial" w:hAnsi="Arial" w:hint="default"/>
      </w:rPr>
    </w:lvl>
    <w:lvl w:ilvl="4" w:tplc="72C22044" w:tentative="1">
      <w:start w:val="1"/>
      <w:numFmt w:val="bullet"/>
      <w:lvlText w:val="•"/>
      <w:lvlJc w:val="left"/>
      <w:pPr>
        <w:tabs>
          <w:tab w:val="num" w:pos="3600"/>
        </w:tabs>
        <w:ind w:left="3600" w:hanging="360"/>
      </w:pPr>
      <w:rPr>
        <w:rFonts w:ascii="Arial" w:hAnsi="Arial" w:hint="default"/>
      </w:rPr>
    </w:lvl>
    <w:lvl w:ilvl="5" w:tplc="1EDEA1BE" w:tentative="1">
      <w:start w:val="1"/>
      <w:numFmt w:val="bullet"/>
      <w:lvlText w:val="•"/>
      <w:lvlJc w:val="left"/>
      <w:pPr>
        <w:tabs>
          <w:tab w:val="num" w:pos="4320"/>
        </w:tabs>
        <w:ind w:left="4320" w:hanging="360"/>
      </w:pPr>
      <w:rPr>
        <w:rFonts w:ascii="Arial" w:hAnsi="Arial" w:hint="default"/>
      </w:rPr>
    </w:lvl>
    <w:lvl w:ilvl="6" w:tplc="9C2496CE" w:tentative="1">
      <w:start w:val="1"/>
      <w:numFmt w:val="bullet"/>
      <w:lvlText w:val="•"/>
      <w:lvlJc w:val="left"/>
      <w:pPr>
        <w:tabs>
          <w:tab w:val="num" w:pos="5040"/>
        </w:tabs>
        <w:ind w:left="5040" w:hanging="360"/>
      </w:pPr>
      <w:rPr>
        <w:rFonts w:ascii="Arial" w:hAnsi="Arial" w:hint="default"/>
      </w:rPr>
    </w:lvl>
    <w:lvl w:ilvl="7" w:tplc="C2F015AA" w:tentative="1">
      <w:start w:val="1"/>
      <w:numFmt w:val="bullet"/>
      <w:lvlText w:val="•"/>
      <w:lvlJc w:val="left"/>
      <w:pPr>
        <w:tabs>
          <w:tab w:val="num" w:pos="5760"/>
        </w:tabs>
        <w:ind w:left="5760" w:hanging="360"/>
      </w:pPr>
      <w:rPr>
        <w:rFonts w:ascii="Arial" w:hAnsi="Arial" w:hint="default"/>
      </w:rPr>
    </w:lvl>
    <w:lvl w:ilvl="8" w:tplc="766C88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50BCD"/>
    <w:multiLevelType w:val="hybridMultilevel"/>
    <w:tmpl w:val="04BACF02"/>
    <w:lvl w:ilvl="0" w:tplc="52B09636">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BAF4FFD"/>
    <w:multiLevelType w:val="hybridMultilevel"/>
    <w:tmpl w:val="ABDA7D0C"/>
    <w:lvl w:ilvl="0" w:tplc="6CB03A38">
      <w:start w:val="1"/>
      <w:numFmt w:val="upperRoman"/>
      <w:lvlText w:val="%1."/>
      <w:lvlJc w:val="right"/>
      <w:pPr>
        <w:ind w:left="360" w:hanging="360"/>
      </w:pPr>
      <w:rPr>
        <w:rFonts w:hint="default"/>
        <w:b/>
        <w:i w:val="0"/>
      </w:r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DBF7089"/>
    <w:multiLevelType w:val="hybridMultilevel"/>
    <w:tmpl w:val="147AE90C"/>
    <w:lvl w:ilvl="0" w:tplc="27E037C4">
      <w:start w:val="1"/>
      <w:numFmt w:val="bullet"/>
      <w:lvlText w:val="•"/>
      <w:lvlJc w:val="left"/>
      <w:pPr>
        <w:tabs>
          <w:tab w:val="num" w:pos="720"/>
        </w:tabs>
        <w:ind w:left="720" w:hanging="360"/>
      </w:pPr>
      <w:rPr>
        <w:rFonts w:ascii="Cambria" w:hAnsi="Cambria" w:hint="default"/>
      </w:rPr>
    </w:lvl>
    <w:lvl w:ilvl="1" w:tplc="DC9CD2D8" w:tentative="1">
      <w:start w:val="1"/>
      <w:numFmt w:val="bullet"/>
      <w:lvlText w:val="•"/>
      <w:lvlJc w:val="left"/>
      <w:pPr>
        <w:tabs>
          <w:tab w:val="num" w:pos="1440"/>
        </w:tabs>
        <w:ind w:left="1440" w:hanging="360"/>
      </w:pPr>
      <w:rPr>
        <w:rFonts w:ascii="Cambria" w:hAnsi="Cambria" w:hint="default"/>
      </w:rPr>
    </w:lvl>
    <w:lvl w:ilvl="2" w:tplc="5C6875BE" w:tentative="1">
      <w:start w:val="1"/>
      <w:numFmt w:val="bullet"/>
      <w:lvlText w:val="•"/>
      <w:lvlJc w:val="left"/>
      <w:pPr>
        <w:tabs>
          <w:tab w:val="num" w:pos="2160"/>
        </w:tabs>
        <w:ind w:left="2160" w:hanging="360"/>
      </w:pPr>
      <w:rPr>
        <w:rFonts w:ascii="Cambria" w:hAnsi="Cambria" w:hint="default"/>
      </w:rPr>
    </w:lvl>
    <w:lvl w:ilvl="3" w:tplc="72767A48" w:tentative="1">
      <w:start w:val="1"/>
      <w:numFmt w:val="bullet"/>
      <w:lvlText w:val="•"/>
      <w:lvlJc w:val="left"/>
      <w:pPr>
        <w:tabs>
          <w:tab w:val="num" w:pos="2880"/>
        </w:tabs>
        <w:ind w:left="2880" w:hanging="360"/>
      </w:pPr>
      <w:rPr>
        <w:rFonts w:ascii="Cambria" w:hAnsi="Cambria" w:hint="default"/>
      </w:rPr>
    </w:lvl>
    <w:lvl w:ilvl="4" w:tplc="AF40BE8A" w:tentative="1">
      <w:start w:val="1"/>
      <w:numFmt w:val="bullet"/>
      <w:lvlText w:val="•"/>
      <w:lvlJc w:val="left"/>
      <w:pPr>
        <w:tabs>
          <w:tab w:val="num" w:pos="3600"/>
        </w:tabs>
        <w:ind w:left="3600" w:hanging="360"/>
      </w:pPr>
      <w:rPr>
        <w:rFonts w:ascii="Cambria" w:hAnsi="Cambria" w:hint="default"/>
      </w:rPr>
    </w:lvl>
    <w:lvl w:ilvl="5" w:tplc="6E5095E0" w:tentative="1">
      <w:start w:val="1"/>
      <w:numFmt w:val="bullet"/>
      <w:lvlText w:val="•"/>
      <w:lvlJc w:val="left"/>
      <w:pPr>
        <w:tabs>
          <w:tab w:val="num" w:pos="4320"/>
        </w:tabs>
        <w:ind w:left="4320" w:hanging="360"/>
      </w:pPr>
      <w:rPr>
        <w:rFonts w:ascii="Cambria" w:hAnsi="Cambria" w:hint="default"/>
      </w:rPr>
    </w:lvl>
    <w:lvl w:ilvl="6" w:tplc="347606A0" w:tentative="1">
      <w:start w:val="1"/>
      <w:numFmt w:val="bullet"/>
      <w:lvlText w:val="•"/>
      <w:lvlJc w:val="left"/>
      <w:pPr>
        <w:tabs>
          <w:tab w:val="num" w:pos="5040"/>
        </w:tabs>
        <w:ind w:left="5040" w:hanging="360"/>
      </w:pPr>
      <w:rPr>
        <w:rFonts w:ascii="Cambria" w:hAnsi="Cambria" w:hint="default"/>
      </w:rPr>
    </w:lvl>
    <w:lvl w:ilvl="7" w:tplc="80640BBE" w:tentative="1">
      <w:start w:val="1"/>
      <w:numFmt w:val="bullet"/>
      <w:lvlText w:val="•"/>
      <w:lvlJc w:val="left"/>
      <w:pPr>
        <w:tabs>
          <w:tab w:val="num" w:pos="5760"/>
        </w:tabs>
        <w:ind w:left="5760" w:hanging="360"/>
      </w:pPr>
      <w:rPr>
        <w:rFonts w:ascii="Cambria" w:hAnsi="Cambria" w:hint="default"/>
      </w:rPr>
    </w:lvl>
    <w:lvl w:ilvl="8" w:tplc="ED80E322" w:tentative="1">
      <w:start w:val="1"/>
      <w:numFmt w:val="bullet"/>
      <w:lvlText w:val="•"/>
      <w:lvlJc w:val="left"/>
      <w:pPr>
        <w:tabs>
          <w:tab w:val="num" w:pos="6480"/>
        </w:tabs>
        <w:ind w:left="6480" w:hanging="360"/>
      </w:pPr>
      <w:rPr>
        <w:rFonts w:ascii="Cambria" w:hAnsi="Cambria" w:hint="default"/>
      </w:rPr>
    </w:lvl>
  </w:abstractNum>
  <w:abstractNum w:abstractNumId="6" w15:restartNumberingAfterBreak="0">
    <w:nsid w:val="21211F0B"/>
    <w:multiLevelType w:val="hybridMultilevel"/>
    <w:tmpl w:val="548AA71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20309FB"/>
    <w:multiLevelType w:val="hybridMultilevel"/>
    <w:tmpl w:val="3CEEFEAA"/>
    <w:lvl w:ilvl="0" w:tplc="94A85878">
      <w:start w:val="10"/>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53F1C1E"/>
    <w:multiLevelType w:val="hybridMultilevel"/>
    <w:tmpl w:val="72E2E364"/>
    <w:lvl w:ilvl="0" w:tplc="03D0B14C">
      <w:start w:val="2"/>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65A50D4"/>
    <w:multiLevelType w:val="hybridMultilevel"/>
    <w:tmpl w:val="50BE1B9A"/>
    <w:lvl w:ilvl="0" w:tplc="1FCE6A70">
      <w:start w:val="1"/>
      <w:numFmt w:val="upperRoman"/>
      <w:lvlText w:val="%1."/>
      <w:lvlJc w:val="right"/>
      <w:pPr>
        <w:ind w:left="360" w:hanging="360"/>
      </w:pPr>
      <w:rPr>
        <w:rFonts w:hint="default"/>
        <w:b/>
        <w:i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3A8E24D7"/>
    <w:multiLevelType w:val="hybridMultilevel"/>
    <w:tmpl w:val="7DDCBEE2"/>
    <w:lvl w:ilvl="0" w:tplc="413601D4">
      <w:start w:val="1"/>
      <w:numFmt w:val="decimal"/>
      <w:lvlText w:val="%1."/>
      <w:lvlJc w:val="left"/>
      <w:pPr>
        <w:ind w:left="360" w:hanging="360"/>
      </w:pPr>
      <w:rPr>
        <w:rFonts w:hint="default"/>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49AC1542"/>
    <w:multiLevelType w:val="hybridMultilevel"/>
    <w:tmpl w:val="E6E696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B6B1721"/>
    <w:multiLevelType w:val="hybridMultilevel"/>
    <w:tmpl w:val="DE9455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473032F"/>
    <w:multiLevelType w:val="hybridMultilevel"/>
    <w:tmpl w:val="167CDCB8"/>
    <w:lvl w:ilvl="0" w:tplc="8CB8ED10">
      <w:start w:val="1"/>
      <w:numFmt w:val="decimal"/>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4" w15:restartNumberingAfterBreak="0">
    <w:nsid w:val="58881CE9"/>
    <w:multiLevelType w:val="hybridMultilevel"/>
    <w:tmpl w:val="525281B4"/>
    <w:lvl w:ilvl="0" w:tplc="94A85878">
      <w:start w:val="10"/>
      <w:numFmt w:val="bullet"/>
      <w:lvlText w:val="-"/>
      <w:lvlJc w:val="left"/>
      <w:pPr>
        <w:ind w:left="360" w:hanging="360"/>
      </w:pPr>
      <w:rPr>
        <w:rFonts w:ascii="Calibri" w:eastAsia="Calibri" w:hAnsi="Calibri" w:cs="Times New Roman"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5C410121"/>
    <w:multiLevelType w:val="hybridMultilevel"/>
    <w:tmpl w:val="F41C85EC"/>
    <w:lvl w:ilvl="0" w:tplc="21DC72E8">
      <w:start w:val="1"/>
      <w:numFmt w:val="bullet"/>
      <w:lvlText w:val="•"/>
      <w:lvlJc w:val="left"/>
      <w:pPr>
        <w:tabs>
          <w:tab w:val="num" w:pos="720"/>
        </w:tabs>
        <w:ind w:left="720" w:hanging="360"/>
      </w:pPr>
      <w:rPr>
        <w:rFonts w:ascii="Arial" w:hAnsi="Arial" w:hint="default"/>
      </w:rPr>
    </w:lvl>
    <w:lvl w:ilvl="1" w:tplc="C3FE79C0" w:tentative="1">
      <w:start w:val="1"/>
      <w:numFmt w:val="bullet"/>
      <w:lvlText w:val="•"/>
      <w:lvlJc w:val="left"/>
      <w:pPr>
        <w:tabs>
          <w:tab w:val="num" w:pos="1440"/>
        </w:tabs>
        <w:ind w:left="1440" w:hanging="360"/>
      </w:pPr>
      <w:rPr>
        <w:rFonts w:ascii="Arial" w:hAnsi="Arial" w:hint="default"/>
      </w:rPr>
    </w:lvl>
    <w:lvl w:ilvl="2" w:tplc="1B5C10BA" w:tentative="1">
      <w:start w:val="1"/>
      <w:numFmt w:val="bullet"/>
      <w:lvlText w:val="•"/>
      <w:lvlJc w:val="left"/>
      <w:pPr>
        <w:tabs>
          <w:tab w:val="num" w:pos="2160"/>
        </w:tabs>
        <w:ind w:left="2160" w:hanging="360"/>
      </w:pPr>
      <w:rPr>
        <w:rFonts w:ascii="Arial" w:hAnsi="Arial" w:hint="default"/>
      </w:rPr>
    </w:lvl>
    <w:lvl w:ilvl="3" w:tplc="0ABAF692" w:tentative="1">
      <w:start w:val="1"/>
      <w:numFmt w:val="bullet"/>
      <w:lvlText w:val="•"/>
      <w:lvlJc w:val="left"/>
      <w:pPr>
        <w:tabs>
          <w:tab w:val="num" w:pos="2880"/>
        </w:tabs>
        <w:ind w:left="2880" w:hanging="360"/>
      </w:pPr>
      <w:rPr>
        <w:rFonts w:ascii="Arial" w:hAnsi="Arial" w:hint="default"/>
      </w:rPr>
    </w:lvl>
    <w:lvl w:ilvl="4" w:tplc="C5D8A6C2" w:tentative="1">
      <w:start w:val="1"/>
      <w:numFmt w:val="bullet"/>
      <w:lvlText w:val="•"/>
      <w:lvlJc w:val="left"/>
      <w:pPr>
        <w:tabs>
          <w:tab w:val="num" w:pos="3600"/>
        </w:tabs>
        <w:ind w:left="3600" w:hanging="360"/>
      </w:pPr>
      <w:rPr>
        <w:rFonts w:ascii="Arial" w:hAnsi="Arial" w:hint="default"/>
      </w:rPr>
    </w:lvl>
    <w:lvl w:ilvl="5" w:tplc="F0BE2DD6" w:tentative="1">
      <w:start w:val="1"/>
      <w:numFmt w:val="bullet"/>
      <w:lvlText w:val="•"/>
      <w:lvlJc w:val="left"/>
      <w:pPr>
        <w:tabs>
          <w:tab w:val="num" w:pos="4320"/>
        </w:tabs>
        <w:ind w:left="4320" w:hanging="360"/>
      </w:pPr>
      <w:rPr>
        <w:rFonts w:ascii="Arial" w:hAnsi="Arial" w:hint="default"/>
      </w:rPr>
    </w:lvl>
    <w:lvl w:ilvl="6" w:tplc="B46C1794" w:tentative="1">
      <w:start w:val="1"/>
      <w:numFmt w:val="bullet"/>
      <w:lvlText w:val="•"/>
      <w:lvlJc w:val="left"/>
      <w:pPr>
        <w:tabs>
          <w:tab w:val="num" w:pos="5040"/>
        </w:tabs>
        <w:ind w:left="5040" w:hanging="360"/>
      </w:pPr>
      <w:rPr>
        <w:rFonts w:ascii="Arial" w:hAnsi="Arial" w:hint="default"/>
      </w:rPr>
    </w:lvl>
    <w:lvl w:ilvl="7" w:tplc="D2B0625C" w:tentative="1">
      <w:start w:val="1"/>
      <w:numFmt w:val="bullet"/>
      <w:lvlText w:val="•"/>
      <w:lvlJc w:val="left"/>
      <w:pPr>
        <w:tabs>
          <w:tab w:val="num" w:pos="5760"/>
        </w:tabs>
        <w:ind w:left="5760" w:hanging="360"/>
      </w:pPr>
      <w:rPr>
        <w:rFonts w:ascii="Arial" w:hAnsi="Arial" w:hint="default"/>
      </w:rPr>
    </w:lvl>
    <w:lvl w:ilvl="8" w:tplc="FFA275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E15182"/>
    <w:multiLevelType w:val="hybridMultilevel"/>
    <w:tmpl w:val="429CD6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80E269E"/>
    <w:multiLevelType w:val="hybridMultilevel"/>
    <w:tmpl w:val="615438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1EF3EC2"/>
    <w:multiLevelType w:val="hybridMultilevel"/>
    <w:tmpl w:val="ED964F92"/>
    <w:lvl w:ilvl="0" w:tplc="94A85878">
      <w:start w:val="1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A1712BA"/>
    <w:multiLevelType w:val="hybridMultilevel"/>
    <w:tmpl w:val="88FA449E"/>
    <w:lvl w:ilvl="0" w:tplc="4FBA017E">
      <w:start w:val="1"/>
      <w:numFmt w:val="decimal"/>
      <w:lvlText w:val="%1."/>
      <w:lvlJc w:val="left"/>
      <w:pPr>
        <w:ind w:left="465" w:hanging="360"/>
      </w:pPr>
      <w:rPr>
        <w:rFonts w:hint="default"/>
      </w:rPr>
    </w:lvl>
    <w:lvl w:ilvl="1" w:tplc="340A0019" w:tentative="1">
      <w:start w:val="1"/>
      <w:numFmt w:val="lowerLetter"/>
      <w:lvlText w:val="%2."/>
      <w:lvlJc w:val="left"/>
      <w:pPr>
        <w:ind w:left="1185" w:hanging="360"/>
      </w:pPr>
    </w:lvl>
    <w:lvl w:ilvl="2" w:tplc="340A001B" w:tentative="1">
      <w:start w:val="1"/>
      <w:numFmt w:val="lowerRoman"/>
      <w:lvlText w:val="%3."/>
      <w:lvlJc w:val="right"/>
      <w:pPr>
        <w:ind w:left="1905" w:hanging="180"/>
      </w:pPr>
    </w:lvl>
    <w:lvl w:ilvl="3" w:tplc="340A000F" w:tentative="1">
      <w:start w:val="1"/>
      <w:numFmt w:val="decimal"/>
      <w:lvlText w:val="%4."/>
      <w:lvlJc w:val="left"/>
      <w:pPr>
        <w:ind w:left="2625" w:hanging="360"/>
      </w:pPr>
    </w:lvl>
    <w:lvl w:ilvl="4" w:tplc="340A0019" w:tentative="1">
      <w:start w:val="1"/>
      <w:numFmt w:val="lowerLetter"/>
      <w:lvlText w:val="%5."/>
      <w:lvlJc w:val="left"/>
      <w:pPr>
        <w:ind w:left="3345" w:hanging="360"/>
      </w:pPr>
    </w:lvl>
    <w:lvl w:ilvl="5" w:tplc="340A001B" w:tentative="1">
      <w:start w:val="1"/>
      <w:numFmt w:val="lowerRoman"/>
      <w:lvlText w:val="%6."/>
      <w:lvlJc w:val="right"/>
      <w:pPr>
        <w:ind w:left="4065" w:hanging="180"/>
      </w:pPr>
    </w:lvl>
    <w:lvl w:ilvl="6" w:tplc="340A000F" w:tentative="1">
      <w:start w:val="1"/>
      <w:numFmt w:val="decimal"/>
      <w:lvlText w:val="%7."/>
      <w:lvlJc w:val="left"/>
      <w:pPr>
        <w:ind w:left="4785" w:hanging="360"/>
      </w:pPr>
    </w:lvl>
    <w:lvl w:ilvl="7" w:tplc="340A0019" w:tentative="1">
      <w:start w:val="1"/>
      <w:numFmt w:val="lowerLetter"/>
      <w:lvlText w:val="%8."/>
      <w:lvlJc w:val="left"/>
      <w:pPr>
        <w:ind w:left="5505" w:hanging="360"/>
      </w:pPr>
    </w:lvl>
    <w:lvl w:ilvl="8" w:tplc="340A001B" w:tentative="1">
      <w:start w:val="1"/>
      <w:numFmt w:val="lowerRoman"/>
      <w:lvlText w:val="%9."/>
      <w:lvlJc w:val="right"/>
      <w:pPr>
        <w:ind w:left="6225" w:hanging="180"/>
      </w:pPr>
    </w:lvl>
  </w:abstractNum>
  <w:abstractNum w:abstractNumId="20" w15:restartNumberingAfterBreak="0">
    <w:nsid w:val="7A6E30C0"/>
    <w:multiLevelType w:val="hybridMultilevel"/>
    <w:tmpl w:val="A7F6097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15:restartNumberingAfterBreak="0">
    <w:nsid w:val="7D9505AE"/>
    <w:multiLevelType w:val="hybridMultilevel"/>
    <w:tmpl w:val="66184314"/>
    <w:lvl w:ilvl="0" w:tplc="0C0EF040">
      <w:start w:val="2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1"/>
  </w:num>
  <w:num w:numId="8">
    <w:abstractNumId w:val="19"/>
  </w:num>
  <w:num w:numId="9">
    <w:abstractNumId w:val="15"/>
  </w:num>
  <w:num w:numId="10">
    <w:abstractNumId w:val="12"/>
  </w:num>
  <w:num w:numId="11">
    <w:abstractNumId w:val="17"/>
  </w:num>
  <w:num w:numId="12">
    <w:abstractNumId w:val="18"/>
  </w:num>
  <w:num w:numId="13">
    <w:abstractNumId w:val="1"/>
  </w:num>
  <w:num w:numId="14">
    <w:abstractNumId w:val="4"/>
  </w:num>
  <w:num w:numId="15">
    <w:abstractNumId w:val="9"/>
  </w:num>
  <w:num w:numId="16">
    <w:abstractNumId w:val="2"/>
  </w:num>
  <w:num w:numId="17">
    <w:abstractNumId w:val="5"/>
  </w:num>
  <w:num w:numId="18">
    <w:abstractNumId w:val="14"/>
  </w:num>
  <w:num w:numId="19">
    <w:abstractNumId w:val="7"/>
  </w:num>
  <w:num w:numId="20">
    <w:abstractNumId w:val="8"/>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50"/>
    <w:rsid w:val="00000B87"/>
    <w:rsid w:val="000029DB"/>
    <w:rsid w:val="00005C66"/>
    <w:rsid w:val="00015896"/>
    <w:rsid w:val="000160E1"/>
    <w:rsid w:val="00021A04"/>
    <w:rsid w:val="0002230C"/>
    <w:rsid w:val="000225A3"/>
    <w:rsid w:val="000246E4"/>
    <w:rsid w:val="0002490F"/>
    <w:rsid w:val="00025A93"/>
    <w:rsid w:val="00025B35"/>
    <w:rsid w:val="00026792"/>
    <w:rsid w:val="00030987"/>
    <w:rsid w:val="000336CA"/>
    <w:rsid w:val="00035156"/>
    <w:rsid w:val="000351B0"/>
    <w:rsid w:val="0004699C"/>
    <w:rsid w:val="000477B5"/>
    <w:rsid w:val="00050E3D"/>
    <w:rsid w:val="00060F57"/>
    <w:rsid w:val="000623AB"/>
    <w:rsid w:val="00063351"/>
    <w:rsid w:val="00066959"/>
    <w:rsid w:val="00067713"/>
    <w:rsid w:val="00067BDE"/>
    <w:rsid w:val="000746B0"/>
    <w:rsid w:val="00080D6D"/>
    <w:rsid w:val="0008193A"/>
    <w:rsid w:val="00083797"/>
    <w:rsid w:val="000900F5"/>
    <w:rsid w:val="00093272"/>
    <w:rsid w:val="000A2785"/>
    <w:rsid w:val="000A6A0B"/>
    <w:rsid w:val="000B02B9"/>
    <w:rsid w:val="000C2A63"/>
    <w:rsid w:val="000C690C"/>
    <w:rsid w:val="000D37F2"/>
    <w:rsid w:val="000D5D7C"/>
    <w:rsid w:val="000E3E89"/>
    <w:rsid w:val="000F087D"/>
    <w:rsid w:val="000F4933"/>
    <w:rsid w:val="000F4BB9"/>
    <w:rsid w:val="000F6B1D"/>
    <w:rsid w:val="001011AC"/>
    <w:rsid w:val="00102C43"/>
    <w:rsid w:val="00112FEA"/>
    <w:rsid w:val="00120E42"/>
    <w:rsid w:val="00131DE7"/>
    <w:rsid w:val="001320D7"/>
    <w:rsid w:val="001332D7"/>
    <w:rsid w:val="00136EE0"/>
    <w:rsid w:val="0014204D"/>
    <w:rsid w:val="0014353D"/>
    <w:rsid w:val="001469E1"/>
    <w:rsid w:val="0015122B"/>
    <w:rsid w:val="00156799"/>
    <w:rsid w:val="00156D84"/>
    <w:rsid w:val="001603DC"/>
    <w:rsid w:val="0017058F"/>
    <w:rsid w:val="0017571F"/>
    <w:rsid w:val="00187E84"/>
    <w:rsid w:val="00192E54"/>
    <w:rsid w:val="001A05F2"/>
    <w:rsid w:val="001A1AA6"/>
    <w:rsid w:val="001A2FD8"/>
    <w:rsid w:val="001A7EDC"/>
    <w:rsid w:val="001B0AB1"/>
    <w:rsid w:val="001B0F7F"/>
    <w:rsid w:val="001B14E5"/>
    <w:rsid w:val="001B26EB"/>
    <w:rsid w:val="001B55DE"/>
    <w:rsid w:val="001C1720"/>
    <w:rsid w:val="001C7133"/>
    <w:rsid w:val="001C72A6"/>
    <w:rsid w:val="001D03E0"/>
    <w:rsid w:val="001D19BC"/>
    <w:rsid w:val="001E27FE"/>
    <w:rsid w:val="001F1063"/>
    <w:rsid w:val="00201B45"/>
    <w:rsid w:val="002052F2"/>
    <w:rsid w:val="002056C3"/>
    <w:rsid w:val="00215796"/>
    <w:rsid w:val="00221580"/>
    <w:rsid w:val="002215BF"/>
    <w:rsid w:val="00222595"/>
    <w:rsid w:val="00224D5D"/>
    <w:rsid w:val="0024233F"/>
    <w:rsid w:val="002465A3"/>
    <w:rsid w:val="002548DB"/>
    <w:rsid w:val="0025693A"/>
    <w:rsid w:val="00261229"/>
    <w:rsid w:val="00265D78"/>
    <w:rsid w:val="00271DDF"/>
    <w:rsid w:val="00273ACC"/>
    <w:rsid w:val="0028189E"/>
    <w:rsid w:val="00285A8B"/>
    <w:rsid w:val="002A28FF"/>
    <w:rsid w:val="002A6288"/>
    <w:rsid w:val="002A6348"/>
    <w:rsid w:val="002B6289"/>
    <w:rsid w:val="002C1CD0"/>
    <w:rsid w:val="002C30EC"/>
    <w:rsid w:val="002C3BC9"/>
    <w:rsid w:val="002D046B"/>
    <w:rsid w:val="002D0716"/>
    <w:rsid w:val="002E0E89"/>
    <w:rsid w:val="002E2960"/>
    <w:rsid w:val="002E3EB5"/>
    <w:rsid w:val="002E59DB"/>
    <w:rsid w:val="002F4111"/>
    <w:rsid w:val="0030565D"/>
    <w:rsid w:val="003075EE"/>
    <w:rsid w:val="0031460F"/>
    <w:rsid w:val="00320121"/>
    <w:rsid w:val="003210C6"/>
    <w:rsid w:val="003323EE"/>
    <w:rsid w:val="00332C1C"/>
    <w:rsid w:val="003333C2"/>
    <w:rsid w:val="00345073"/>
    <w:rsid w:val="00351E7E"/>
    <w:rsid w:val="00355B56"/>
    <w:rsid w:val="00360D61"/>
    <w:rsid w:val="00362DDE"/>
    <w:rsid w:val="0036560D"/>
    <w:rsid w:val="003722F5"/>
    <w:rsid w:val="0037781F"/>
    <w:rsid w:val="003818C2"/>
    <w:rsid w:val="0038200A"/>
    <w:rsid w:val="00387E3D"/>
    <w:rsid w:val="0039344F"/>
    <w:rsid w:val="003977A6"/>
    <w:rsid w:val="003A1121"/>
    <w:rsid w:val="003B5EAD"/>
    <w:rsid w:val="003C42FA"/>
    <w:rsid w:val="003C794C"/>
    <w:rsid w:val="003E001F"/>
    <w:rsid w:val="003E1443"/>
    <w:rsid w:val="003F7812"/>
    <w:rsid w:val="003F7E95"/>
    <w:rsid w:val="0040227D"/>
    <w:rsid w:val="00404D98"/>
    <w:rsid w:val="0040599B"/>
    <w:rsid w:val="00405BF7"/>
    <w:rsid w:val="00406529"/>
    <w:rsid w:val="004111D7"/>
    <w:rsid w:val="00413C67"/>
    <w:rsid w:val="00414DD9"/>
    <w:rsid w:val="00414E8C"/>
    <w:rsid w:val="004152B1"/>
    <w:rsid w:val="00417946"/>
    <w:rsid w:val="00423B79"/>
    <w:rsid w:val="00424236"/>
    <w:rsid w:val="0042522B"/>
    <w:rsid w:val="0043539B"/>
    <w:rsid w:val="004410B8"/>
    <w:rsid w:val="00443FA6"/>
    <w:rsid w:val="00446E08"/>
    <w:rsid w:val="00451F3D"/>
    <w:rsid w:val="00470245"/>
    <w:rsid w:val="00481515"/>
    <w:rsid w:val="004902BD"/>
    <w:rsid w:val="00491A4C"/>
    <w:rsid w:val="00491D7E"/>
    <w:rsid w:val="00496334"/>
    <w:rsid w:val="004A4C2E"/>
    <w:rsid w:val="004A4FD2"/>
    <w:rsid w:val="004A541C"/>
    <w:rsid w:val="004A5994"/>
    <w:rsid w:val="004C13E6"/>
    <w:rsid w:val="004C1B28"/>
    <w:rsid w:val="004C3460"/>
    <w:rsid w:val="004C456B"/>
    <w:rsid w:val="004C59DC"/>
    <w:rsid w:val="004D10BC"/>
    <w:rsid w:val="004E3A9A"/>
    <w:rsid w:val="004E4360"/>
    <w:rsid w:val="004F4BAD"/>
    <w:rsid w:val="004F6071"/>
    <w:rsid w:val="004F64D3"/>
    <w:rsid w:val="00500D39"/>
    <w:rsid w:val="00513B65"/>
    <w:rsid w:val="0051403B"/>
    <w:rsid w:val="00515391"/>
    <w:rsid w:val="00517D4D"/>
    <w:rsid w:val="00522A1A"/>
    <w:rsid w:val="00523DD6"/>
    <w:rsid w:val="00534C35"/>
    <w:rsid w:val="0053787C"/>
    <w:rsid w:val="00537F8F"/>
    <w:rsid w:val="00545B27"/>
    <w:rsid w:val="005467F6"/>
    <w:rsid w:val="005564D3"/>
    <w:rsid w:val="00563431"/>
    <w:rsid w:val="0056729A"/>
    <w:rsid w:val="00573496"/>
    <w:rsid w:val="00573855"/>
    <w:rsid w:val="00577E11"/>
    <w:rsid w:val="00577F92"/>
    <w:rsid w:val="00583AEF"/>
    <w:rsid w:val="005857EC"/>
    <w:rsid w:val="005A1861"/>
    <w:rsid w:val="005A669E"/>
    <w:rsid w:val="005B1263"/>
    <w:rsid w:val="005B298D"/>
    <w:rsid w:val="005B7335"/>
    <w:rsid w:val="005C2C74"/>
    <w:rsid w:val="005C3F0B"/>
    <w:rsid w:val="005C67D3"/>
    <w:rsid w:val="005D51F8"/>
    <w:rsid w:val="005E1094"/>
    <w:rsid w:val="00601F07"/>
    <w:rsid w:val="00602893"/>
    <w:rsid w:val="006125C2"/>
    <w:rsid w:val="006346D3"/>
    <w:rsid w:val="006349E0"/>
    <w:rsid w:val="006351E2"/>
    <w:rsid w:val="006359E5"/>
    <w:rsid w:val="0063686B"/>
    <w:rsid w:val="00641843"/>
    <w:rsid w:val="00643176"/>
    <w:rsid w:val="00644478"/>
    <w:rsid w:val="00665BB3"/>
    <w:rsid w:val="00680020"/>
    <w:rsid w:val="0068112D"/>
    <w:rsid w:val="00690602"/>
    <w:rsid w:val="00696A60"/>
    <w:rsid w:val="006A62A3"/>
    <w:rsid w:val="006B17B4"/>
    <w:rsid w:val="006B1B74"/>
    <w:rsid w:val="006B507C"/>
    <w:rsid w:val="006B5B77"/>
    <w:rsid w:val="006C5134"/>
    <w:rsid w:val="006C5B84"/>
    <w:rsid w:val="006D1050"/>
    <w:rsid w:val="006D2076"/>
    <w:rsid w:val="006D4137"/>
    <w:rsid w:val="006D5008"/>
    <w:rsid w:val="006D70C5"/>
    <w:rsid w:val="006D79C7"/>
    <w:rsid w:val="006E6CFB"/>
    <w:rsid w:val="006E72FA"/>
    <w:rsid w:val="00704DED"/>
    <w:rsid w:val="0071146A"/>
    <w:rsid w:val="007201BA"/>
    <w:rsid w:val="007239BB"/>
    <w:rsid w:val="00726783"/>
    <w:rsid w:val="00741062"/>
    <w:rsid w:val="007410C2"/>
    <w:rsid w:val="00742DC3"/>
    <w:rsid w:val="00743B6A"/>
    <w:rsid w:val="007450B5"/>
    <w:rsid w:val="00746233"/>
    <w:rsid w:val="00750987"/>
    <w:rsid w:val="00755A76"/>
    <w:rsid w:val="0076351D"/>
    <w:rsid w:val="0078393A"/>
    <w:rsid w:val="00783A31"/>
    <w:rsid w:val="00794E48"/>
    <w:rsid w:val="007966EC"/>
    <w:rsid w:val="007A2FC4"/>
    <w:rsid w:val="007A44C0"/>
    <w:rsid w:val="007B0613"/>
    <w:rsid w:val="007B3EEF"/>
    <w:rsid w:val="007B5939"/>
    <w:rsid w:val="007B7AFD"/>
    <w:rsid w:val="007C139B"/>
    <w:rsid w:val="007C2B10"/>
    <w:rsid w:val="007C58EA"/>
    <w:rsid w:val="007C61C2"/>
    <w:rsid w:val="007C6B49"/>
    <w:rsid w:val="007E0D11"/>
    <w:rsid w:val="007E36DC"/>
    <w:rsid w:val="007E65AF"/>
    <w:rsid w:val="007E7F9F"/>
    <w:rsid w:val="007F098E"/>
    <w:rsid w:val="007F6FBB"/>
    <w:rsid w:val="008114F4"/>
    <w:rsid w:val="00822826"/>
    <w:rsid w:val="00822D4D"/>
    <w:rsid w:val="008234E3"/>
    <w:rsid w:val="00824585"/>
    <w:rsid w:val="008406F2"/>
    <w:rsid w:val="008501CC"/>
    <w:rsid w:val="00855E3F"/>
    <w:rsid w:val="008561D8"/>
    <w:rsid w:val="00860815"/>
    <w:rsid w:val="00866ECC"/>
    <w:rsid w:val="008707FC"/>
    <w:rsid w:val="00872452"/>
    <w:rsid w:val="00876C49"/>
    <w:rsid w:val="00883A0C"/>
    <w:rsid w:val="008856DC"/>
    <w:rsid w:val="0089077E"/>
    <w:rsid w:val="00891382"/>
    <w:rsid w:val="008C08C2"/>
    <w:rsid w:val="008C1748"/>
    <w:rsid w:val="008C6E1C"/>
    <w:rsid w:val="008D03BB"/>
    <w:rsid w:val="008D1630"/>
    <w:rsid w:val="008E54B5"/>
    <w:rsid w:val="008E7878"/>
    <w:rsid w:val="008E7C02"/>
    <w:rsid w:val="008F4016"/>
    <w:rsid w:val="008F40AE"/>
    <w:rsid w:val="009003E3"/>
    <w:rsid w:val="00901D02"/>
    <w:rsid w:val="00906EC0"/>
    <w:rsid w:val="0091347C"/>
    <w:rsid w:val="0091639A"/>
    <w:rsid w:val="009211F4"/>
    <w:rsid w:val="0092706C"/>
    <w:rsid w:val="00931E55"/>
    <w:rsid w:val="00932FD2"/>
    <w:rsid w:val="009376D1"/>
    <w:rsid w:val="00941F9A"/>
    <w:rsid w:val="0094606D"/>
    <w:rsid w:val="00946DDB"/>
    <w:rsid w:val="009505B9"/>
    <w:rsid w:val="0096071E"/>
    <w:rsid w:val="00961900"/>
    <w:rsid w:val="0096260E"/>
    <w:rsid w:val="0096581C"/>
    <w:rsid w:val="00970DED"/>
    <w:rsid w:val="0097138E"/>
    <w:rsid w:val="00973294"/>
    <w:rsid w:val="00973D41"/>
    <w:rsid w:val="00987E26"/>
    <w:rsid w:val="00990C45"/>
    <w:rsid w:val="009921B8"/>
    <w:rsid w:val="00993CCB"/>
    <w:rsid w:val="0099655A"/>
    <w:rsid w:val="009B064C"/>
    <w:rsid w:val="009B4463"/>
    <w:rsid w:val="009B467A"/>
    <w:rsid w:val="009C6022"/>
    <w:rsid w:val="009C6E92"/>
    <w:rsid w:val="009D74C8"/>
    <w:rsid w:val="009E2209"/>
    <w:rsid w:val="009F0996"/>
    <w:rsid w:val="009F46E0"/>
    <w:rsid w:val="009F5506"/>
    <w:rsid w:val="009F7F18"/>
    <w:rsid w:val="00A0344D"/>
    <w:rsid w:val="00A143B8"/>
    <w:rsid w:val="00A2091B"/>
    <w:rsid w:val="00A21203"/>
    <w:rsid w:val="00A34394"/>
    <w:rsid w:val="00A34644"/>
    <w:rsid w:val="00A37019"/>
    <w:rsid w:val="00A51123"/>
    <w:rsid w:val="00A5287C"/>
    <w:rsid w:val="00A5312A"/>
    <w:rsid w:val="00A541AD"/>
    <w:rsid w:val="00A541C6"/>
    <w:rsid w:val="00A55F27"/>
    <w:rsid w:val="00A57AD1"/>
    <w:rsid w:val="00A6214E"/>
    <w:rsid w:val="00A64E66"/>
    <w:rsid w:val="00A67D71"/>
    <w:rsid w:val="00A77931"/>
    <w:rsid w:val="00A834B8"/>
    <w:rsid w:val="00AA46BE"/>
    <w:rsid w:val="00AA4EF9"/>
    <w:rsid w:val="00AB0E62"/>
    <w:rsid w:val="00AB7F1A"/>
    <w:rsid w:val="00AC5B08"/>
    <w:rsid w:val="00AD21B1"/>
    <w:rsid w:val="00AD6216"/>
    <w:rsid w:val="00AF7AF3"/>
    <w:rsid w:val="00B013FA"/>
    <w:rsid w:val="00B02AB2"/>
    <w:rsid w:val="00B03312"/>
    <w:rsid w:val="00B033AD"/>
    <w:rsid w:val="00B1162B"/>
    <w:rsid w:val="00B16DFB"/>
    <w:rsid w:val="00B17088"/>
    <w:rsid w:val="00B230DC"/>
    <w:rsid w:val="00B37CF4"/>
    <w:rsid w:val="00B41021"/>
    <w:rsid w:val="00B43F3E"/>
    <w:rsid w:val="00B515BB"/>
    <w:rsid w:val="00B53623"/>
    <w:rsid w:val="00B54F59"/>
    <w:rsid w:val="00B64AC0"/>
    <w:rsid w:val="00B70F44"/>
    <w:rsid w:val="00B74178"/>
    <w:rsid w:val="00B75DD4"/>
    <w:rsid w:val="00B80E92"/>
    <w:rsid w:val="00B8265D"/>
    <w:rsid w:val="00B82732"/>
    <w:rsid w:val="00B85564"/>
    <w:rsid w:val="00B87866"/>
    <w:rsid w:val="00BA002F"/>
    <w:rsid w:val="00BA3894"/>
    <w:rsid w:val="00BB1EB5"/>
    <w:rsid w:val="00BB3E4B"/>
    <w:rsid w:val="00BC0942"/>
    <w:rsid w:val="00BC0E10"/>
    <w:rsid w:val="00BD753A"/>
    <w:rsid w:val="00BE07D9"/>
    <w:rsid w:val="00BE1DCC"/>
    <w:rsid w:val="00BE2D73"/>
    <w:rsid w:val="00BE2E1F"/>
    <w:rsid w:val="00BE661B"/>
    <w:rsid w:val="00BF1D42"/>
    <w:rsid w:val="00BF2A8E"/>
    <w:rsid w:val="00C015F8"/>
    <w:rsid w:val="00C05C7E"/>
    <w:rsid w:val="00C11BD6"/>
    <w:rsid w:val="00C20B66"/>
    <w:rsid w:val="00C20C17"/>
    <w:rsid w:val="00C214D7"/>
    <w:rsid w:val="00C23316"/>
    <w:rsid w:val="00C306FF"/>
    <w:rsid w:val="00C40923"/>
    <w:rsid w:val="00C451C7"/>
    <w:rsid w:val="00C5741E"/>
    <w:rsid w:val="00C64022"/>
    <w:rsid w:val="00C64814"/>
    <w:rsid w:val="00C675A2"/>
    <w:rsid w:val="00C72799"/>
    <w:rsid w:val="00C72D99"/>
    <w:rsid w:val="00C74B4A"/>
    <w:rsid w:val="00C815F1"/>
    <w:rsid w:val="00C82FCB"/>
    <w:rsid w:val="00C8397D"/>
    <w:rsid w:val="00CA4B82"/>
    <w:rsid w:val="00CB090C"/>
    <w:rsid w:val="00CB3EFF"/>
    <w:rsid w:val="00CB5E97"/>
    <w:rsid w:val="00CB7C34"/>
    <w:rsid w:val="00CC2E9C"/>
    <w:rsid w:val="00CD0E75"/>
    <w:rsid w:val="00CD21DC"/>
    <w:rsid w:val="00CD4DE4"/>
    <w:rsid w:val="00CD4EA5"/>
    <w:rsid w:val="00CE56D2"/>
    <w:rsid w:val="00CE702C"/>
    <w:rsid w:val="00CE7497"/>
    <w:rsid w:val="00CE79B8"/>
    <w:rsid w:val="00CF2053"/>
    <w:rsid w:val="00D01046"/>
    <w:rsid w:val="00D027E4"/>
    <w:rsid w:val="00D053C0"/>
    <w:rsid w:val="00D17CDC"/>
    <w:rsid w:val="00D20262"/>
    <w:rsid w:val="00D262B8"/>
    <w:rsid w:val="00D27858"/>
    <w:rsid w:val="00D34D12"/>
    <w:rsid w:val="00D45943"/>
    <w:rsid w:val="00D537BA"/>
    <w:rsid w:val="00D55F28"/>
    <w:rsid w:val="00D66841"/>
    <w:rsid w:val="00D7139D"/>
    <w:rsid w:val="00D74760"/>
    <w:rsid w:val="00D774AF"/>
    <w:rsid w:val="00D837D4"/>
    <w:rsid w:val="00D85BF7"/>
    <w:rsid w:val="00D95387"/>
    <w:rsid w:val="00D97173"/>
    <w:rsid w:val="00D97D8E"/>
    <w:rsid w:val="00DA0C59"/>
    <w:rsid w:val="00DA1811"/>
    <w:rsid w:val="00DA2D42"/>
    <w:rsid w:val="00DB5450"/>
    <w:rsid w:val="00DC182B"/>
    <w:rsid w:val="00DC290A"/>
    <w:rsid w:val="00DC5209"/>
    <w:rsid w:val="00DD218D"/>
    <w:rsid w:val="00DD371C"/>
    <w:rsid w:val="00DD6E16"/>
    <w:rsid w:val="00DE6286"/>
    <w:rsid w:val="00DF5C8F"/>
    <w:rsid w:val="00DF6FC5"/>
    <w:rsid w:val="00E07FD7"/>
    <w:rsid w:val="00E14870"/>
    <w:rsid w:val="00E241E0"/>
    <w:rsid w:val="00E34BE3"/>
    <w:rsid w:val="00E36BB4"/>
    <w:rsid w:val="00E41D82"/>
    <w:rsid w:val="00E45940"/>
    <w:rsid w:val="00E578F4"/>
    <w:rsid w:val="00E67CF2"/>
    <w:rsid w:val="00E71E1E"/>
    <w:rsid w:val="00E7692A"/>
    <w:rsid w:val="00E8226A"/>
    <w:rsid w:val="00E86A95"/>
    <w:rsid w:val="00E879D2"/>
    <w:rsid w:val="00E90074"/>
    <w:rsid w:val="00E91F32"/>
    <w:rsid w:val="00E9789E"/>
    <w:rsid w:val="00EB431E"/>
    <w:rsid w:val="00EB7F8E"/>
    <w:rsid w:val="00EC045D"/>
    <w:rsid w:val="00EC3E8C"/>
    <w:rsid w:val="00ED069F"/>
    <w:rsid w:val="00ED5A68"/>
    <w:rsid w:val="00EE1E0E"/>
    <w:rsid w:val="00EE3D70"/>
    <w:rsid w:val="00EE5F44"/>
    <w:rsid w:val="00EF17E4"/>
    <w:rsid w:val="00F10A10"/>
    <w:rsid w:val="00F1711F"/>
    <w:rsid w:val="00F211F6"/>
    <w:rsid w:val="00F26DFE"/>
    <w:rsid w:val="00F30A9D"/>
    <w:rsid w:val="00F370FA"/>
    <w:rsid w:val="00F45998"/>
    <w:rsid w:val="00F54D4F"/>
    <w:rsid w:val="00F54F08"/>
    <w:rsid w:val="00F566D2"/>
    <w:rsid w:val="00F62D10"/>
    <w:rsid w:val="00F70CF4"/>
    <w:rsid w:val="00F76A67"/>
    <w:rsid w:val="00F975F1"/>
    <w:rsid w:val="00FA3C9B"/>
    <w:rsid w:val="00FB0995"/>
    <w:rsid w:val="00FB1B13"/>
    <w:rsid w:val="00FC69E5"/>
    <w:rsid w:val="00FD20AF"/>
    <w:rsid w:val="00FD2F57"/>
    <w:rsid w:val="00FD509E"/>
    <w:rsid w:val="00FE0C69"/>
    <w:rsid w:val="00FE415B"/>
    <w:rsid w:val="00FE55DD"/>
    <w:rsid w:val="00FE6962"/>
    <w:rsid w:val="00FE69AE"/>
    <w:rsid w:val="00FF45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05200"/>
  <w15:chartTrackingRefBased/>
  <w15:docId w15:val="{D0209B36-119A-4150-B5F2-E256697E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30"/>
    <w:pPr>
      <w:spacing w:after="200" w:line="276" w:lineRule="auto"/>
    </w:pPr>
    <w:rPr>
      <w:sz w:val="22"/>
      <w:szCs w:val="22"/>
      <w:lang w:val="es-ES_tradnl" w:eastAsia="en-US"/>
    </w:rPr>
  </w:style>
  <w:style w:type="paragraph" w:styleId="Ttulo1">
    <w:name w:val="heading 1"/>
    <w:basedOn w:val="Normal"/>
    <w:next w:val="Normal"/>
    <w:link w:val="Ttulo1Car"/>
    <w:uiPriority w:val="9"/>
    <w:qFormat/>
    <w:rsid w:val="0091347C"/>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450"/>
    <w:pPr>
      <w:ind w:left="720"/>
      <w:contextualSpacing/>
    </w:pPr>
  </w:style>
  <w:style w:type="table" w:styleId="Tablaconcuadrcula">
    <w:name w:val="Table Grid"/>
    <w:basedOn w:val="Tablanormal"/>
    <w:uiPriority w:val="39"/>
    <w:rsid w:val="00FC69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60815"/>
    <w:pPr>
      <w:autoSpaceDE w:val="0"/>
      <w:autoSpaceDN w:val="0"/>
      <w:adjustRightInd w:val="0"/>
    </w:pPr>
    <w:rPr>
      <w:rFonts w:ascii="Courier New" w:hAnsi="Courier New" w:cs="Courier New"/>
      <w:color w:val="000000"/>
      <w:sz w:val="24"/>
      <w:szCs w:val="24"/>
      <w:lang w:val="es-ES" w:eastAsia="es-ES"/>
    </w:rPr>
  </w:style>
  <w:style w:type="paragraph" w:styleId="Textodeglobo">
    <w:name w:val="Balloon Text"/>
    <w:basedOn w:val="Normal"/>
    <w:link w:val="TextodegloboCar"/>
    <w:uiPriority w:val="99"/>
    <w:semiHidden/>
    <w:unhideWhenUsed/>
    <w:rsid w:val="008E54B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E54B5"/>
    <w:rPr>
      <w:rFonts w:ascii="Tahoma" w:hAnsi="Tahoma" w:cs="Tahoma"/>
      <w:sz w:val="16"/>
      <w:szCs w:val="16"/>
      <w:lang w:val="es-ES_tradnl" w:eastAsia="en-US"/>
    </w:rPr>
  </w:style>
  <w:style w:type="character" w:customStyle="1" w:styleId="afpanelgrouplayout">
    <w:name w:val="af_panelgrouplayout"/>
    <w:rsid w:val="00C82FCB"/>
  </w:style>
  <w:style w:type="paragraph" w:styleId="Encabezado">
    <w:name w:val="header"/>
    <w:basedOn w:val="Normal"/>
    <w:link w:val="EncabezadoCar"/>
    <w:uiPriority w:val="99"/>
    <w:unhideWhenUsed/>
    <w:rsid w:val="00B80E92"/>
    <w:pPr>
      <w:tabs>
        <w:tab w:val="center" w:pos="4419"/>
        <w:tab w:val="right" w:pos="8838"/>
      </w:tabs>
    </w:pPr>
  </w:style>
  <w:style w:type="character" w:customStyle="1" w:styleId="EncabezadoCar">
    <w:name w:val="Encabezado Car"/>
    <w:link w:val="Encabezado"/>
    <w:uiPriority w:val="99"/>
    <w:rsid w:val="00B80E92"/>
    <w:rPr>
      <w:sz w:val="22"/>
      <w:szCs w:val="22"/>
      <w:lang w:val="es-ES_tradnl" w:eastAsia="en-US"/>
    </w:rPr>
  </w:style>
  <w:style w:type="paragraph" w:styleId="Piedepgina">
    <w:name w:val="footer"/>
    <w:basedOn w:val="Normal"/>
    <w:link w:val="PiedepginaCar"/>
    <w:uiPriority w:val="99"/>
    <w:unhideWhenUsed/>
    <w:rsid w:val="00B80E92"/>
    <w:pPr>
      <w:tabs>
        <w:tab w:val="center" w:pos="4419"/>
        <w:tab w:val="right" w:pos="8838"/>
      </w:tabs>
    </w:pPr>
  </w:style>
  <w:style w:type="character" w:customStyle="1" w:styleId="PiedepginaCar">
    <w:name w:val="Pie de página Car"/>
    <w:link w:val="Piedepgina"/>
    <w:uiPriority w:val="99"/>
    <w:rsid w:val="00B80E92"/>
    <w:rPr>
      <w:sz w:val="22"/>
      <w:szCs w:val="22"/>
      <w:lang w:val="es-ES_tradnl" w:eastAsia="en-US"/>
    </w:rPr>
  </w:style>
  <w:style w:type="character" w:customStyle="1" w:styleId="Ttulo1Car">
    <w:name w:val="Título 1 Car"/>
    <w:link w:val="Ttulo1"/>
    <w:uiPriority w:val="9"/>
    <w:rsid w:val="0091347C"/>
    <w:rPr>
      <w:rFonts w:ascii="Calibri Light" w:eastAsia="Times New Roman" w:hAnsi="Calibri Light" w:cs="Times New Roman"/>
      <w:b/>
      <w:bCs/>
      <w:kern w:val="32"/>
      <w:sz w:val="32"/>
      <w:szCs w:val="32"/>
      <w:lang w:val="es-ES_tradnl" w:eastAsia="en-US"/>
    </w:rPr>
  </w:style>
  <w:style w:type="character" w:styleId="Refdecomentario">
    <w:name w:val="annotation reference"/>
    <w:basedOn w:val="Fuentedeprrafopredeter"/>
    <w:uiPriority w:val="99"/>
    <w:semiHidden/>
    <w:unhideWhenUsed/>
    <w:rsid w:val="00C675A2"/>
    <w:rPr>
      <w:sz w:val="16"/>
      <w:szCs w:val="16"/>
    </w:rPr>
  </w:style>
  <w:style w:type="paragraph" w:styleId="Textocomentario">
    <w:name w:val="annotation text"/>
    <w:basedOn w:val="Normal"/>
    <w:link w:val="TextocomentarioCar"/>
    <w:uiPriority w:val="99"/>
    <w:semiHidden/>
    <w:unhideWhenUsed/>
    <w:rsid w:val="00C675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75A2"/>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C675A2"/>
    <w:rPr>
      <w:b/>
      <w:bCs/>
    </w:rPr>
  </w:style>
  <w:style w:type="character" w:customStyle="1" w:styleId="AsuntodelcomentarioCar">
    <w:name w:val="Asunto del comentario Car"/>
    <w:basedOn w:val="TextocomentarioCar"/>
    <w:link w:val="Asuntodelcomentario"/>
    <w:uiPriority w:val="99"/>
    <w:semiHidden/>
    <w:rsid w:val="00C675A2"/>
    <w:rPr>
      <w:b/>
      <w:bCs/>
      <w:lang w:val="es-ES_tradnl" w:eastAsia="en-US"/>
    </w:rPr>
  </w:style>
  <w:style w:type="paragraph" w:styleId="Revisin">
    <w:name w:val="Revision"/>
    <w:hidden/>
    <w:uiPriority w:val="99"/>
    <w:semiHidden/>
    <w:rsid w:val="00872452"/>
    <w:rPr>
      <w:sz w:val="22"/>
      <w:szCs w:val="22"/>
      <w:lang w:val="es-ES_tradnl" w:eastAsia="en-US"/>
    </w:rPr>
  </w:style>
  <w:style w:type="paragraph" w:styleId="NormalWeb">
    <w:name w:val="Normal (Web)"/>
    <w:basedOn w:val="Normal"/>
    <w:uiPriority w:val="99"/>
    <w:semiHidden/>
    <w:unhideWhenUsed/>
    <w:rsid w:val="00D34D12"/>
    <w:pPr>
      <w:spacing w:before="100" w:beforeAutospacing="1" w:after="100" w:afterAutospacing="1" w:line="240" w:lineRule="auto"/>
    </w:pPr>
    <w:rPr>
      <w:rFonts w:ascii="Times New Roman" w:eastAsia="Times New Roman" w:hAnsi="Times New Roman"/>
      <w:sz w:val="24"/>
      <w:szCs w:val="24"/>
      <w:lang w:val="es-CL" w:eastAsia="es-CL"/>
    </w:rPr>
  </w:style>
  <w:style w:type="paragraph" w:styleId="Descripcin">
    <w:name w:val="caption"/>
    <w:basedOn w:val="Normal"/>
    <w:next w:val="Normal"/>
    <w:uiPriority w:val="35"/>
    <w:unhideWhenUsed/>
    <w:qFormat/>
    <w:rsid w:val="0028189E"/>
    <w:pPr>
      <w:spacing w:line="240" w:lineRule="auto"/>
      <w:jc w:val="both"/>
    </w:pPr>
    <w:rPr>
      <w:rFonts w:ascii="Arial" w:eastAsiaTheme="minorHAnsi" w:hAnsi="Arial" w:cstheme="minorBidi"/>
      <w:i/>
      <w:iCs/>
      <w:color w:val="44546A" w:themeColor="text2"/>
      <w:sz w:val="18"/>
      <w:szCs w:val="18"/>
      <w:lang w:val="es-ES"/>
    </w:rPr>
  </w:style>
  <w:style w:type="table" w:customStyle="1" w:styleId="Tablanormal21">
    <w:name w:val="Tabla normal 21"/>
    <w:basedOn w:val="Tablanormal"/>
    <w:uiPriority w:val="42"/>
    <w:rsid w:val="0028189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io1">
    <w:name w:val="Calendario 1"/>
    <w:basedOn w:val="Tablanormal"/>
    <w:uiPriority w:val="99"/>
    <w:qFormat/>
    <w:rsid w:val="004C1B28"/>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2182">
      <w:bodyDiv w:val="1"/>
      <w:marLeft w:val="0"/>
      <w:marRight w:val="0"/>
      <w:marTop w:val="0"/>
      <w:marBottom w:val="0"/>
      <w:divBdr>
        <w:top w:val="none" w:sz="0" w:space="0" w:color="auto"/>
        <w:left w:val="none" w:sz="0" w:space="0" w:color="auto"/>
        <w:bottom w:val="none" w:sz="0" w:space="0" w:color="auto"/>
        <w:right w:val="none" w:sz="0" w:space="0" w:color="auto"/>
      </w:divBdr>
      <w:divsChild>
        <w:div w:id="1260406302">
          <w:marLeft w:val="547"/>
          <w:marRight w:val="0"/>
          <w:marTop w:val="0"/>
          <w:marBottom w:val="0"/>
          <w:divBdr>
            <w:top w:val="none" w:sz="0" w:space="0" w:color="auto"/>
            <w:left w:val="none" w:sz="0" w:space="0" w:color="auto"/>
            <w:bottom w:val="none" w:sz="0" w:space="0" w:color="auto"/>
            <w:right w:val="none" w:sz="0" w:space="0" w:color="auto"/>
          </w:divBdr>
        </w:div>
      </w:divsChild>
    </w:div>
    <w:div w:id="184289106">
      <w:bodyDiv w:val="1"/>
      <w:marLeft w:val="0"/>
      <w:marRight w:val="0"/>
      <w:marTop w:val="0"/>
      <w:marBottom w:val="0"/>
      <w:divBdr>
        <w:top w:val="none" w:sz="0" w:space="0" w:color="auto"/>
        <w:left w:val="none" w:sz="0" w:space="0" w:color="auto"/>
        <w:bottom w:val="none" w:sz="0" w:space="0" w:color="auto"/>
        <w:right w:val="none" w:sz="0" w:space="0" w:color="auto"/>
      </w:divBdr>
    </w:div>
    <w:div w:id="238056717">
      <w:bodyDiv w:val="1"/>
      <w:marLeft w:val="0"/>
      <w:marRight w:val="0"/>
      <w:marTop w:val="0"/>
      <w:marBottom w:val="0"/>
      <w:divBdr>
        <w:top w:val="none" w:sz="0" w:space="0" w:color="auto"/>
        <w:left w:val="none" w:sz="0" w:space="0" w:color="auto"/>
        <w:bottom w:val="none" w:sz="0" w:space="0" w:color="auto"/>
        <w:right w:val="none" w:sz="0" w:space="0" w:color="auto"/>
      </w:divBdr>
    </w:div>
    <w:div w:id="240871582">
      <w:bodyDiv w:val="1"/>
      <w:marLeft w:val="0"/>
      <w:marRight w:val="0"/>
      <w:marTop w:val="0"/>
      <w:marBottom w:val="0"/>
      <w:divBdr>
        <w:top w:val="none" w:sz="0" w:space="0" w:color="auto"/>
        <w:left w:val="none" w:sz="0" w:space="0" w:color="auto"/>
        <w:bottom w:val="none" w:sz="0" w:space="0" w:color="auto"/>
        <w:right w:val="none" w:sz="0" w:space="0" w:color="auto"/>
      </w:divBdr>
      <w:divsChild>
        <w:div w:id="1092051871">
          <w:marLeft w:val="432"/>
          <w:marRight w:val="0"/>
          <w:marTop w:val="0"/>
          <w:marBottom w:val="0"/>
          <w:divBdr>
            <w:top w:val="none" w:sz="0" w:space="0" w:color="auto"/>
            <w:left w:val="none" w:sz="0" w:space="0" w:color="auto"/>
            <w:bottom w:val="none" w:sz="0" w:space="0" w:color="auto"/>
            <w:right w:val="none" w:sz="0" w:space="0" w:color="auto"/>
          </w:divBdr>
        </w:div>
        <w:div w:id="1786148672">
          <w:marLeft w:val="432"/>
          <w:marRight w:val="0"/>
          <w:marTop w:val="0"/>
          <w:marBottom w:val="0"/>
          <w:divBdr>
            <w:top w:val="none" w:sz="0" w:space="0" w:color="auto"/>
            <w:left w:val="none" w:sz="0" w:space="0" w:color="auto"/>
            <w:bottom w:val="none" w:sz="0" w:space="0" w:color="auto"/>
            <w:right w:val="none" w:sz="0" w:space="0" w:color="auto"/>
          </w:divBdr>
        </w:div>
      </w:divsChild>
    </w:div>
    <w:div w:id="278950431">
      <w:bodyDiv w:val="1"/>
      <w:marLeft w:val="0"/>
      <w:marRight w:val="0"/>
      <w:marTop w:val="0"/>
      <w:marBottom w:val="0"/>
      <w:divBdr>
        <w:top w:val="none" w:sz="0" w:space="0" w:color="auto"/>
        <w:left w:val="none" w:sz="0" w:space="0" w:color="auto"/>
        <w:bottom w:val="none" w:sz="0" w:space="0" w:color="auto"/>
        <w:right w:val="none" w:sz="0" w:space="0" w:color="auto"/>
      </w:divBdr>
    </w:div>
    <w:div w:id="355935817">
      <w:bodyDiv w:val="1"/>
      <w:marLeft w:val="0"/>
      <w:marRight w:val="0"/>
      <w:marTop w:val="0"/>
      <w:marBottom w:val="0"/>
      <w:divBdr>
        <w:top w:val="none" w:sz="0" w:space="0" w:color="auto"/>
        <w:left w:val="none" w:sz="0" w:space="0" w:color="auto"/>
        <w:bottom w:val="none" w:sz="0" w:space="0" w:color="auto"/>
        <w:right w:val="none" w:sz="0" w:space="0" w:color="auto"/>
      </w:divBdr>
    </w:div>
    <w:div w:id="467356165">
      <w:bodyDiv w:val="1"/>
      <w:marLeft w:val="0"/>
      <w:marRight w:val="0"/>
      <w:marTop w:val="0"/>
      <w:marBottom w:val="0"/>
      <w:divBdr>
        <w:top w:val="none" w:sz="0" w:space="0" w:color="auto"/>
        <w:left w:val="none" w:sz="0" w:space="0" w:color="auto"/>
        <w:bottom w:val="none" w:sz="0" w:space="0" w:color="auto"/>
        <w:right w:val="none" w:sz="0" w:space="0" w:color="auto"/>
      </w:divBdr>
    </w:div>
    <w:div w:id="575747737">
      <w:bodyDiv w:val="1"/>
      <w:marLeft w:val="0"/>
      <w:marRight w:val="0"/>
      <w:marTop w:val="0"/>
      <w:marBottom w:val="0"/>
      <w:divBdr>
        <w:top w:val="none" w:sz="0" w:space="0" w:color="auto"/>
        <w:left w:val="none" w:sz="0" w:space="0" w:color="auto"/>
        <w:bottom w:val="none" w:sz="0" w:space="0" w:color="auto"/>
        <w:right w:val="none" w:sz="0" w:space="0" w:color="auto"/>
      </w:divBdr>
    </w:div>
    <w:div w:id="647561855">
      <w:bodyDiv w:val="1"/>
      <w:marLeft w:val="0"/>
      <w:marRight w:val="0"/>
      <w:marTop w:val="0"/>
      <w:marBottom w:val="0"/>
      <w:divBdr>
        <w:top w:val="none" w:sz="0" w:space="0" w:color="auto"/>
        <w:left w:val="none" w:sz="0" w:space="0" w:color="auto"/>
        <w:bottom w:val="none" w:sz="0" w:space="0" w:color="auto"/>
        <w:right w:val="none" w:sz="0" w:space="0" w:color="auto"/>
      </w:divBdr>
    </w:div>
    <w:div w:id="1016541537">
      <w:bodyDiv w:val="1"/>
      <w:marLeft w:val="0"/>
      <w:marRight w:val="0"/>
      <w:marTop w:val="0"/>
      <w:marBottom w:val="0"/>
      <w:divBdr>
        <w:top w:val="none" w:sz="0" w:space="0" w:color="auto"/>
        <w:left w:val="none" w:sz="0" w:space="0" w:color="auto"/>
        <w:bottom w:val="none" w:sz="0" w:space="0" w:color="auto"/>
        <w:right w:val="none" w:sz="0" w:space="0" w:color="auto"/>
      </w:divBdr>
    </w:div>
    <w:div w:id="1130126482">
      <w:bodyDiv w:val="1"/>
      <w:marLeft w:val="0"/>
      <w:marRight w:val="0"/>
      <w:marTop w:val="0"/>
      <w:marBottom w:val="0"/>
      <w:divBdr>
        <w:top w:val="none" w:sz="0" w:space="0" w:color="auto"/>
        <w:left w:val="none" w:sz="0" w:space="0" w:color="auto"/>
        <w:bottom w:val="none" w:sz="0" w:space="0" w:color="auto"/>
        <w:right w:val="none" w:sz="0" w:space="0" w:color="auto"/>
      </w:divBdr>
      <w:divsChild>
        <w:div w:id="1412966871">
          <w:marLeft w:val="432"/>
          <w:marRight w:val="0"/>
          <w:marTop w:val="0"/>
          <w:marBottom w:val="0"/>
          <w:divBdr>
            <w:top w:val="none" w:sz="0" w:space="0" w:color="auto"/>
            <w:left w:val="none" w:sz="0" w:space="0" w:color="auto"/>
            <w:bottom w:val="none" w:sz="0" w:space="0" w:color="auto"/>
            <w:right w:val="none" w:sz="0" w:space="0" w:color="auto"/>
          </w:divBdr>
        </w:div>
      </w:divsChild>
    </w:div>
    <w:div w:id="1310135806">
      <w:bodyDiv w:val="1"/>
      <w:marLeft w:val="0"/>
      <w:marRight w:val="0"/>
      <w:marTop w:val="0"/>
      <w:marBottom w:val="0"/>
      <w:divBdr>
        <w:top w:val="none" w:sz="0" w:space="0" w:color="auto"/>
        <w:left w:val="none" w:sz="0" w:space="0" w:color="auto"/>
        <w:bottom w:val="none" w:sz="0" w:space="0" w:color="auto"/>
        <w:right w:val="none" w:sz="0" w:space="0" w:color="auto"/>
      </w:divBdr>
    </w:div>
    <w:div w:id="1328824049">
      <w:bodyDiv w:val="1"/>
      <w:marLeft w:val="0"/>
      <w:marRight w:val="0"/>
      <w:marTop w:val="0"/>
      <w:marBottom w:val="0"/>
      <w:divBdr>
        <w:top w:val="none" w:sz="0" w:space="0" w:color="auto"/>
        <w:left w:val="none" w:sz="0" w:space="0" w:color="auto"/>
        <w:bottom w:val="none" w:sz="0" w:space="0" w:color="auto"/>
        <w:right w:val="none" w:sz="0" w:space="0" w:color="auto"/>
      </w:divBdr>
    </w:div>
    <w:div w:id="1504052652">
      <w:bodyDiv w:val="1"/>
      <w:marLeft w:val="0"/>
      <w:marRight w:val="0"/>
      <w:marTop w:val="0"/>
      <w:marBottom w:val="0"/>
      <w:divBdr>
        <w:top w:val="none" w:sz="0" w:space="0" w:color="auto"/>
        <w:left w:val="none" w:sz="0" w:space="0" w:color="auto"/>
        <w:bottom w:val="none" w:sz="0" w:space="0" w:color="auto"/>
        <w:right w:val="none" w:sz="0" w:space="0" w:color="auto"/>
      </w:divBdr>
    </w:div>
    <w:div w:id="1551455092">
      <w:bodyDiv w:val="1"/>
      <w:marLeft w:val="0"/>
      <w:marRight w:val="0"/>
      <w:marTop w:val="0"/>
      <w:marBottom w:val="0"/>
      <w:divBdr>
        <w:top w:val="none" w:sz="0" w:space="0" w:color="auto"/>
        <w:left w:val="none" w:sz="0" w:space="0" w:color="auto"/>
        <w:bottom w:val="none" w:sz="0" w:space="0" w:color="auto"/>
        <w:right w:val="none" w:sz="0" w:space="0" w:color="auto"/>
      </w:divBdr>
    </w:div>
    <w:div w:id="1554266063">
      <w:bodyDiv w:val="1"/>
      <w:marLeft w:val="0"/>
      <w:marRight w:val="0"/>
      <w:marTop w:val="0"/>
      <w:marBottom w:val="0"/>
      <w:divBdr>
        <w:top w:val="none" w:sz="0" w:space="0" w:color="auto"/>
        <w:left w:val="none" w:sz="0" w:space="0" w:color="auto"/>
        <w:bottom w:val="none" w:sz="0" w:space="0" w:color="auto"/>
        <w:right w:val="none" w:sz="0" w:space="0" w:color="auto"/>
      </w:divBdr>
    </w:div>
    <w:div w:id="1648899472">
      <w:bodyDiv w:val="1"/>
      <w:marLeft w:val="0"/>
      <w:marRight w:val="0"/>
      <w:marTop w:val="0"/>
      <w:marBottom w:val="0"/>
      <w:divBdr>
        <w:top w:val="none" w:sz="0" w:space="0" w:color="auto"/>
        <w:left w:val="none" w:sz="0" w:space="0" w:color="auto"/>
        <w:bottom w:val="none" w:sz="0" w:space="0" w:color="auto"/>
        <w:right w:val="none" w:sz="0" w:space="0" w:color="auto"/>
      </w:divBdr>
    </w:div>
    <w:div w:id="1659572546">
      <w:bodyDiv w:val="1"/>
      <w:marLeft w:val="0"/>
      <w:marRight w:val="0"/>
      <w:marTop w:val="0"/>
      <w:marBottom w:val="0"/>
      <w:divBdr>
        <w:top w:val="none" w:sz="0" w:space="0" w:color="auto"/>
        <w:left w:val="none" w:sz="0" w:space="0" w:color="auto"/>
        <w:bottom w:val="none" w:sz="0" w:space="0" w:color="auto"/>
        <w:right w:val="none" w:sz="0" w:space="0" w:color="auto"/>
      </w:divBdr>
    </w:div>
    <w:div w:id="1682660004">
      <w:bodyDiv w:val="1"/>
      <w:marLeft w:val="0"/>
      <w:marRight w:val="0"/>
      <w:marTop w:val="0"/>
      <w:marBottom w:val="0"/>
      <w:divBdr>
        <w:top w:val="none" w:sz="0" w:space="0" w:color="auto"/>
        <w:left w:val="none" w:sz="0" w:space="0" w:color="auto"/>
        <w:bottom w:val="none" w:sz="0" w:space="0" w:color="auto"/>
        <w:right w:val="none" w:sz="0" w:space="0" w:color="auto"/>
      </w:divBdr>
    </w:div>
    <w:div w:id="1744137754">
      <w:bodyDiv w:val="1"/>
      <w:marLeft w:val="0"/>
      <w:marRight w:val="0"/>
      <w:marTop w:val="0"/>
      <w:marBottom w:val="0"/>
      <w:divBdr>
        <w:top w:val="none" w:sz="0" w:space="0" w:color="auto"/>
        <w:left w:val="none" w:sz="0" w:space="0" w:color="auto"/>
        <w:bottom w:val="none" w:sz="0" w:space="0" w:color="auto"/>
        <w:right w:val="none" w:sz="0" w:space="0" w:color="auto"/>
      </w:divBdr>
      <w:divsChild>
        <w:div w:id="1102382233">
          <w:marLeft w:val="432"/>
          <w:marRight w:val="0"/>
          <w:marTop w:val="0"/>
          <w:marBottom w:val="0"/>
          <w:divBdr>
            <w:top w:val="none" w:sz="0" w:space="0" w:color="auto"/>
            <w:left w:val="none" w:sz="0" w:space="0" w:color="auto"/>
            <w:bottom w:val="none" w:sz="0" w:space="0" w:color="auto"/>
            <w:right w:val="none" w:sz="0" w:space="0" w:color="auto"/>
          </w:divBdr>
        </w:div>
        <w:div w:id="1354306966">
          <w:marLeft w:val="432"/>
          <w:marRight w:val="0"/>
          <w:marTop w:val="0"/>
          <w:marBottom w:val="0"/>
          <w:divBdr>
            <w:top w:val="none" w:sz="0" w:space="0" w:color="auto"/>
            <w:left w:val="none" w:sz="0" w:space="0" w:color="auto"/>
            <w:bottom w:val="none" w:sz="0" w:space="0" w:color="auto"/>
            <w:right w:val="none" w:sz="0" w:space="0" w:color="auto"/>
          </w:divBdr>
        </w:div>
        <w:div w:id="539898930">
          <w:marLeft w:val="432"/>
          <w:marRight w:val="0"/>
          <w:marTop w:val="0"/>
          <w:marBottom w:val="0"/>
          <w:divBdr>
            <w:top w:val="none" w:sz="0" w:space="0" w:color="auto"/>
            <w:left w:val="none" w:sz="0" w:space="0" w:color="auto"/>
            <w:bottom w:val="none" w:sz="0" w:space="0" w:color="auto"/>
            <w:right w:val="none" w:sz="0" w:space="0" w:color="auto"/>
          </w:divBdr>
        </w:div>
        <w:div w:id="2013490223">
          <w:marLeft w:val="432"/>
          <w:marRight w:val="0"/>
          <w:marTop w:val="0"/>
          <w:marBottom w:val="0"/>
          <w:divBdr>
            <w:top w:val="none" w:sz="0" w:space="0" w:color="auto"/>
            <w:left w:val="none" w:sz="0" w:space="0" w:color="auto"/>
            <w:bottom w:val="none" w:sz="0" w:space="0" w:color="auto"/>
            <w:right w:val="none" w:sz="0" w:space="0" w:color="auto"/>
          </w:divBdr>
        </w:div>
      </w:divsChild>
    </w:div>
    <w:div w:id="1887061249">
      <w:bodyDiv w:val="1"/>
      <w:marLeft w:val="0"/>
      <w:marRight w:val="0"/>
      <w:marTop w:val="0"/>
      <w:marBottom w:val="0"/>
      <w:divBdr>
        <w:top w:val="none" w:sz="0" w:space="0" w:color="auto"/>
        <w:left w:val="none" w:sz="0" w:space="0" w:color="auto"/>
        <w:bottom w:val="none" w:sz="0" w:space="0" w:color="auto"/>
        <w:right w:val="none" w:sz="0" w:space="0" w:color="auto"/>
      </w:divBdr>
    </w:div>
    <w:div w:id="2053068698">
      <w:bodyDiv w:val="1"/>
      <w:marLeft w:val="0"/>
      <w:marRight w:val="0"/>
      <w:marTop w:val="0"/>
      <w:marBottom w:val="0"/>
      <w:divBdr>
        <w:top w:val="none" w:sz="0" w:space="0" w:color="auto"/>
        <w:left w:val="none" w:sz="0" w:space="0" w:color="auto"/>
        <w:bottom w:val="none" w:sz="0" w:space="0" w:color="auto"/>
        <w:right w:val="none" w:sz="0" w:space="0" w:color="auto"/>
      </w:divBdr>
    </w:div>
    <w:div w:id="2097360486">
      <w:bodyDiv w:val="1"/>
      <w:marLeft w:val="0"/>
      <w:marRight w:val="0"/>
      <w:marTop w:val="0"/>
      <w:marBottom w:val="0"/>
      <w:divBdr>
        <w:top w:val="none" w:sz="0" w:space="0" w:color="auto"/>
        <w:left w:val="none" w:sz="0" w:space="0" w:color="auto"/>
        <w:bottom w:val="none" w:sz="0" w:space="0" w:color="auto"/>
        <w:right w:val="none" w:sz="0" w:space="0" w:color="auto"/>
      </w:divBdr>
    </w:div>
    <w:div w:id="21094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760E-1A7B-48C2-98ED-A801702B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2020</Words>
  <Characters>11111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cp:lastModifiedBy>María Elena González</cp:lastModifiedBy>
  <cp:revision>2</cp:revision>
  <cp:lastPrinted>2019-07-24T19:30:00Z</cp:lastPrinted>
  <dcterms:created xsi:type="dcterms:W3CDTF">2020-11-15T11:42:00Z</dcterms:created>
  <dcterms:modified xsi:type="dcterms:W3CDTF">2020-11-15T11:42:00Z</dcterms:modified>
</cp:coreProperties>
</file>